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4044" w14:textId="72666EF8" w:rsidR="00D53FEC" w:rsidRPr="008763F8" w:rsidRDefault="008763F8" w:rsidP="00C04E6D">
      <w:pPr>
        <w:rPr>
          <w:rStyle w:val="doilink"/>
          <w:rFonts w:ascii="Open Sans" w:hAnsi="Open Sans" w:cs="Open Sans"/>
          <w:b/>
          <w:bCs/>
          <w:color w:val="333333"/>
          <w:sz w:val="22"/>
          <w:szCs w:val="22"/>
        </w:rPr>
      </w:pPr>
      <w:r w:rsidRPr="008763F8">
        <w:rPr>
          <w:rStyle w:val="authorname"/>
          <w:rFonts w:ascii="Open Sans" w:hAnsi="Open Sans" w:cs="Open Sans"/>
          <w:b/>
          <w:bCs/>
          <w:color w:val="333333"/>
          <w:sz w:val="22"/>
          <w:szCs w:val="22"/>
        </w:rPr>
        <w:t>Caterina</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Breitenstein</w:t>
      </w:r>
      <w:r w:rsidRPr="008763F8">
        <w:rPr>
          <w:rStyle w:val="separator"/>
          <w:rFonts w:ascii="Open Sans" w:hAnsi="Open Sans" w:cs="Open Sans"/>
          <w:b/>
          <w:bCs/>
          <w:color w:val="333333"/>
          <w:sz w:val="22"/>
          <w:szCs w:val="22"/>
        </w:rPr>
        <w:t>,</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Katerina</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Hilari</w:t>
      </w:r>
      <w:r w:rsidRPr="008763F8">
        <w:rPr>
          <w:rStyle w:val="separator"/>
          <w:rFonts w:ascii="Open Sans" w:hAnsi="Open Sans" w:cs="Open Sans"/>
          <w:b/>
          <w:bCs/>
          <w:color w:val="333333"/>
          <w:sz w:val="22"/>
          <w:szCs w:val="22"/>
        </w:rPr>
        <w:t>,</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Maya</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Menahemi-Falkov</w:t>
      </w:r>
      <w:r w:rsidRPr="008763F8">
        <w:rPr>
          <w:rStyle w:val="separator"/>
          <w:rFonts w:ascii="Open Sans" w:hAnsi="Open Sans" w:cs="Open Sans"/>
          <w:b/>
          <w:bCs/>
          <w:color w:val="333333"/>
          <w:sz w:val="22"/>
          <w:szCs w:val="22"/>
        </w:rPr>
        <w:t>,</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Miranda</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L. Rose</w:t>
      </w:r>
      <w:r w:rsidRPr="008763F8">
        <w:rPr>
          <w:rStyle w:val="separator"/>
          <w:rFonts w:ascii="Open Sans" w:hAnsi="Open Sans" w:cs="Open Sans"/>
          <w:b/>
          <w:bCs/>
          <w:color w:val="333333"/>
          <w:sz w:val="22"/>
          <w:szCs w:val="22"/>
        </w:rPr>
        <w:t>,</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Sarah J.</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Wallace</w:t>
      </w:r>
      <w:r w:rsidRPr="008763F8">
        <w:rPr>
          <w:rStyle w:val="separator"/>
          <w:rFonts w:ascii="Open Sans" w:hAnsi="Open Sans" w:cs="Open Sans"/>
          <w:b/>
          <w:bCs/>
          <w:color w:val="333333"/>
          <w:sz w:val="22"/>
          <w:szCs w:val="22"/>
        </w:rPr>
        <w:t>,</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 xml:space="preserve">Marian </w:t>
      </w:r>
      <w:proofErr w:type="spellStart"/>
      <w:r w:rsidRPr="008763F8">
        <w:rPr>
          <w:rStyle w:val="authorname"/>
          <w:rFonts w:ascii="Open Sans" w:hAnsi="Open Sans" w:cs="Open Sans"/>
          <w:b/>
          <w:bCs/>
          <w:color w:val="333333"/>
          <w:sz w:val="22"/>
          <w:szCs w:val="22"/>
        </w:rPr>
        <w:t>C.Brady</w:t>
      </w:r>
      <w:proofErr w:type="spellEnd"/>
      <w:r w:rsidRPr="008763F8">
        <w:rPr>
          <w:rStyle w:val="separator"/>
          <w:rFonts w:ascii="Open Sans" w:hAnsi="Open Sans" w:cs="Open Sans"/>
          <w:b/>
          <w:bCs/>
          <w:color w:val="333333"/>
          <w:sz w:val="22"/>
          <w:szCs w:val="22"/>
        </w:rPr>
        <w:t>,</w:t>
      </w:r>
      <w:r w:rsidRPr="008763F8">
        <w:rPr>
          <w:rStyle w:val="apple-converted-space"/>
          <w:rFonts w:ascii="Open Sans" w:hAnsi="Open Sans" w:cs="Open Sans"/>
          <w:b/>
          <w:bCs/>
          <w:color w:val="333333"/>
          <w:sz w:val="22"/>
          <w:szCs w:val="22"/>
        </w:rPr>
        <w:t> </w:t>
      </w:r>
      <w:proofErr w:type="spellStart"/>
      <w:r w:rsidRPr="008763F8">
        <w:rPr>
          <w:rStyle w:val="authorname"/>
          <w:rFonts w:ascii="Open Sans" w:hAnsi="Open Sans" w:cs="Open Sans"/>
          <w:b/>
          <w:bCs/>
          <w:color w:val="333333"/>
          <w:sz w:val="22"/>
          <w:szCs w:val="22"/>
        </w:rPr>
        <w:t>Argye</w:t>
      </w:r>
      <w:proofErr w:type="spellEnd"/>
      <w:r w:rsidRPr="008763F8">
        <w:rPr>
          <w:rStyle w:val="authorname"/>
          <w:rFonts w:ascii="Open Sans" w:hAnsi="Open Sans" w:cs="Open Sans"/>
          <w:b/>
          <w:bCs/>
          <w:color w:val="333333"/>
          <w:sz w:val="22"/>
          <w:szCs w:val="22"/>
        </w:rPr>
        <w:t xml:space="preserve"> E.</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Hillis</w:t>
      </w:r>
      <w:r w:rsidRPr="008763F8">
        <w:rPr>
          <w:rStyle w:val="separator"/>
          <w:rFonts w:ascii="Open Sans" w:hAnsi="Open Sans" w:cs="Open Sans"/>
          <w:b/>
          <w:bCs/>
          <w:color w:val="333333"/>
          <w:sz w:val="22"/>
          <w:szCs w:val="22"/>
        </w:rPr>
        <w:t>,</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Swathi</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Kiran</w:t>
      </w:r>
      <w:r w:rsidRPr="008763F8">
        <w:rPr>
          <w:rStyle w:val="separator"/>
          <w:rFonts w:ascii="Open Sans" w:hAnsi="Open Sans" w:cs="Open Sans"/>
          <w:b/>
          <w:bCs/>
          <w:color w:val="333333"/>
          <w:sz w:val="22"/>
          <w:szCs w:val="22"/>
        </w:rPr>
        <w:t>,</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Jerzy P.</w:t>
      </w:r>
      <w:r w:rsidRPr="008763F8">
        <w:rPr>
          <w:rStyle w:val="apple-converted-space"/>
          <w:rFonts w:ascii="Open Sans" w:hAnsi="Open Sans" w:cs="Open Sans"/>
          <w:b/>
          <w:bCs/>
          <w:color w:val="333333"/>
          <w:sz w:val="22"/>
          <w:szCs w:val="22"/>
        </w:rPr>
        <w:t> </w:t>
      </w:r>
      <w:proofErr w:type="spellStart"/>
      <w:r w:rsidRPr="008763F8">
        <w:rPr>
          <w:rStyle w:val="authorname"/>
          <w:rFonts w:ascii="Open Sans" w:hAnsi="Open Sans" w:cs="Open Sans"/>
          <w:b/>
          <w:bCs/>
          <w:color w:val="333333"/>
          <w:sz w:val="22"/>
          <w:szCs w:val="22"/>
        </w:rPr>
        <w:t>Szaflarski</w:t>
      </w:r>
      <w:proofErr w:type="spellEnd"/>
      <w:r w:rsidRPr="008763F8">
        <w:rPr>
          <w:rStyle w:val="separator"/>
          <w:rFonts w:ascii="Open Sans" w:hAnsi="Open Sans" w:cs="Open Sans"/>
          <w:b/>
          <w:bCs/>
          <w:color w:val="333333"/>
          <w:sz w:val="22"/>
          <w:szCs w:val="22"/>
        </w:rPr>
        <w:t>,</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Donna C.</w:t>
      </w:r>
      <w:r w:rsidRPr="008763F8">
        <w:rPr>
          <w:rStyle w:val="apple-converted-space"/>
          <w:rFonts w:ascii="Open Sans" w:hAnsi="Open Sans" w:cs="Open Sans"/>
          <w:b/>
          <w:bCs/>
          <w:color w:val="333333"/>
          <w:sz w:val="22"/>
          <w:szCs w:val="22"/>
        </w:rPr>
        <w:t> </w:t>
      </w:r>
      <w:proofErr w:type="spellStart"/>
      <w:r w:rsidRPr="008763F8">
        <w:rPr>
          <w:rStyle w:val="authorname"/>
          <w:rFonts w:ascii="Open Sans" w:hAnsi="Open Sans" w:cs="Open Sans"/>
          <w:b/>
          <w:bCs/>
          <w:color w:val="333333"/>
          <w:sz w:val="22"/>
          <w:szCs w:val="22"/>
        </w:rPr>
        <w:t>Tippett</w:t>
      </w:r>
      <w:proofErr w:type="spellEnd"/>
      <w:r w:rsidRPr="008763F8">
        <w:rPr>
          <w:rStyle w:val="separator"/>
          <w:rFonts w:ascii="Open Sans" w:hAnsi="Open Sans" w:cs="Open Sans"/>
          <w:b/>
          <w:bCs/>
          <w:color w:val="333333"/>
          <w:sz w:val="22"/>
          <w:szCs w:val="22"/>
        </w:rPr>
        <w:t>,</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Evy</w:t>
      </w:r>
      <w:r w:rsidRPr="008763F8">
        <w:rPr>
          <w:rStyle w:val="apple-converted-space"/>
          <w:rFonts w:ascii="Open Sans" w:hAnsi="Open Sans" w:cs="Open Sans"/>
          <w:b/>
          <w:bCs/>
          <w:color w:val="333333"/>
          <w:sz w:val="22"/>
          <w:szCs w:val="22"/>
        </w:rPr>
        <w:t> </w:t>
      </w:r>
      <w:proofErr w:type="spellStart"/>
      <w:r w:rsidRPr="008763F8">
        <w:rPr>
          <w:rStyle w:val="authorname"/>
          <w:rFonts w:ascii="Open Sans" w:hAnsi="Open Sans" w:cs="Open Sans"/>
          <w:b/>
          <w:bCs/>
          <w:color w:val="333333"/>
          <w:sz w:val="22"/>
          <w:szCs w:val="22"/>
        </w:rPr>
        <w:t>Visch</w:t>
      </w:r>
      <w:proofErr w:type="spellEnd"/>
      <w:r w:rsidRPr="008763F8">
        <w:rPr>
          <w:rStyle w:val="authorname"/>
          <w:rFonts w:ascii="Open Sans" w:hAnsi="Open Sans" w:cs="Open Sans"/>
          <w:b/>
          <w:bCs/>
          <w:color w:val="333333"/>
          <w:sz w:val="22"/>
          <w:szCs w:val="22"/>
        </w:rPr>
        <w:t xml:space="preserve"> </w:t>
      </w:r>
      <w:r w:rsidRPr="008763F8">
        <w:rPr>
          <w:rStyle w:val="authorname"/>
          <w:rFonts w:ascii="Open Sans" w:hAnsi="Open Sans" w:cs="Open Sans"/>
          <w:b/>
          <w:bCs/>
          <w:color w:val="333333"/>
          <w:sz w:val="22"/>
          <w:szCs w:val="22"/>
        </w:rPr>
        <w:t>Brink</w:t>
      </w:r>
      <w:r w:rsidRPr="008763F8">
        <w:rPr>
          <w:rStyle w:val="apple-converted-space"/>
          <w:rFonts w:ascii="Open Sans" w:hAnsi="Open Sans" w:cs="Open Sans"/>
          <w:b/>
          <w:bCs/>
          <w:color w:val="333333"/>
          <w:sz w:val="22"/>
          <w:szCs w:val="22"/>
        </w:rPr>
        <w:t> </w:t>
      </w:r>
      <w:r w:rsidRPr="008763F8">
        <w:rPr>
          <w:rStyle w:val="separator"/>
          <w:rFonts w:ascii="Open Sans" w:hAnsi="Open Sans" w:cs="Open Sans"/>
          <w:b/>
          <w:bCs/>
          <w:color w:val="333333"/>
          <w:sz w:val="22"/>
          <w:szCs w:val="22"/>
        </w:rPr>
        <w:t>&amp;</w:t>
      </w:r>
      <w:r w:rsidRPr="008763F8">
        <w:rPr>
          <w:rStyle w:val="apple-converted-space"/>
          <w:rFonts w:ascii="Open Sans" w:hAnsi="Open Sans" w:cs="Open Sans"/>
          <w:b/>
          <w:bCs/>
          <w:color w:val="333333"/>
          <w:sz w:val="22"/>
          <w:szCs w:val="22"/>
        </w:rPr>
        <w:t> </w:t>
      </w:r>
      <w:r w:rsidRPr="008763F8">
        <w:rPr>
          <w:rStyle w:val="authorname"/>
          <w:rFonts w:ascii="Open Sans" w:hAnsi="Open Sans" w:cs="Open Sans"/>
          <w:b/>
          <w:bCs/>
          <w:color w:val="333333"/>
          <w:sz w:val="22"/>
          <w:szCs w:val="22"/>
        </w:rPr>
        <w:t>Klaus</w:t>
      </w:r>
      <w:r w:rsidRPr="008763F8">
        <w:rPr>
          <w:rStyle w:val="apple-converted-space"/>
          <w:rFonts w:ascii="Open Sans" w:hAnsi="Open Sans" w:cs="Open Sans"/>
          <w:b/>
          <w:bCs/>
          <w:color w:val="333333"/>
          <w:sz w:val="22"/>
          <w:szCs w:val="22"/>
        </w:rPr>
        <w:t> </w:t>
      </w:r>
      <w:proofErr w:type="spellStart"/>
      <w:r w:rsidRPr="008763F8">
        <w:rPr>
          <w:rStyle w:val="authorname"/>
          <w:rFonts w:ascii="Open Sans" w:hAnsi="Open Sans" w:cs="Open Sans"/>
          <w:b/>
          <w:bCs/>
          <w:color w:val="333333"/>
          <w:sz w:val="22"/>
          <w:szCs w:val="22"/>
        </w:rPr>
        <w:t>Willmes</w:t>
      </w:r>
      <w:proofErr w:type="spellEnd"/>
      <w:r w:rsidRPr="008763F8">
        <w:rPr>
          <w:rStyle w:val="apple-converted-space"/>
          <w:rFonts w:ascii="Open Sans" w:hAnsi="Open Sans" w:cs="Open Sans"/>
          <w:b/>
          <w:bCs/>
          <w:color w:val="333333"/>
          <w:sz w:val="22"/>
          <w:szCs w:val="22"/>
          <w:shd w:val="clear" w:color="auto" w:fill="FFFFFF"/>
        </w:rPr>
        <w:t> </w:t>
      </w:r>
      <w:r w:rsidRPr="008763F8">
        <w:rPr>
          <w:rStyle w:val="date"/>
          <w:rFonts w:ascii="Open Sans" w:hAnsi="Open Sans" w:cs="Open Sans"/>
          <w:b/>
          <w:bCs/>
          <w:color w:val="333333"/>
          <w:sz w:val="22"/>
          <w:szCs w:val="22"/>
        </w:rPr>
        <w:t>(2023)</w:t>
      </w:r>
      <w:r w:rsidRPr="008763F8">
        <w:rPr>
          <w:rStyle w:val="arttitle"/>
          <w:rFonts w:ascii="Open Sans" w:hAnsi="Open Sans" w:cs="Open Sans"/>
          <w:b/>
          <w:bCs/>
          <w:color w:val="333333"/>
          <w:sz w:val="22"/>
          <w:szCs w:val="22"/>
        </w:rPr>
        <w:t>Operationalising treatment success in aphasia rehabilitation,</w:t>
      </w:r>
      <w:r w:rsidRPr="008763F8">
        <w:rPr>
          <w:rStyle w:val="apple-converted-space"/>
          <w:rFonts w:ascii="Open Sans" w:hAnsi="Open Sans" w:cs="Open Sans"/>
          <w:b/>
          <w:bCs/>
          <w:color w:val="333333"/>
          <w:sz w:val="22"/>
          <w:szCs w:val="22"/>
          <w:shd w:val="clear" w:color="auto" w:fill="FFFFFF"/>
        </w:rPr>
        <w:t> </w:t>
      </w:r>
      <w:r w:rsidRPr="008763F8">
        <w:rPr>
          <w:rStyle w:val="serialtitle"/>
          <w:rFonts w:ascii="Open Sans" w:hAnsi="Open Sans" w:cs="Open Sans"/>
          <w:b/>
          <w:bCs/>
          <w:color w:val="333333"/>
          <w:sz w:val="22"/>
          <w:szCs w:val="22"/>
        </w:rPr>
        <w:t>Aphasiology,</w:t>
      </w:r>
      <w:r w:rsidRPr="008763F8">
        <w:rPr>
          <w:rStyle w:val="apple-converted-space"/>
          <w:rFonts w:ascii="Open Sans" w:hAnsi="Open Sans" w:cs="Open Sans"/>
          <w:b/>
          <w:bCs/>
          <w:color w:val="333333"/>
          <w:sz w:val="22"/>
          <w:szCs w:val="22"/>
          <w:shd w:val="clear" w:color="auto" w:fill="FFFFFF"/>
        </w:rPr>
        <w:t> </w:t>
      </w:r>
      <w:r w:rsidRPr="008763F8">
        <w:rPr>
          <w:rStyle w:val="volumeissue"/>
          <w:rFonts w:ascii="Open Sans" w:hAnsi="Open Sans" w:cs="Open Sans"/>
          <w:b/>
          <w:bCs/>
          <w:color w:val="333333"/>
          <w:sz w:val="22"/>
          <w:szCs w:val="22"/>
        </w:rPr>
        <w:t>37:11,</w:t>
      </w:r>
      <w:r w:rsidRPr="008763F8">
        <w:rPr>
          <w:rStyle w:val="apple-converted-space"/>
          <w:rFonts w:ascii="Open Sans" w:hAnsi="Open Sans" w:cs="Open Sans"/>
          <w:b/>
          <w:bCs/>
          <w:color w:val="333333"/>
          <w:sz w:val="22"/>
          <w:szCs w:val="22"/>
          <w:shd w:val="clear" w:color="auto" w:fill="FFFFFF"/>
        </w:rPr>
        <w:t> </w:t>
      </w:r>
      <w:r w:rsidRPr="008763F8">
        <w:rPr>
          <w:rStyle w:val="pagerange"/>
          <w:rFonts w:ascii="Open Sans" w:hAnsi="Open Sans" w:cs="Open Sans"/>
          <w:b/>
          <w:bCs/>
          <w:color w:val="333333"/>
          <w:sz w:val="22"/>
          <w:szCs w:val="22"/>
        </w:rPr>
        <w:t>1693-1732,</w:t>
      </w:r>
      <w:r w:rsidRPr="008763F8">
        <w:rPr>
          <w:rStyle w:val="apple-converted-space"/>
          <w:rFonts w:ascii="Open Sans" w:hAnsi="Open Sans" w:cs="Open Sans"/>
          <w:b/>
          <w:bCs/>
          <w:color w:val="333333"/>
          <w:sz w:val="22"/>
          <w:szCs w:val="22"/>
          <w:shd w:val="clear" w:color="auto" w:fill="FFFFFF"/>
        </w:rPr>
        <w:t> </w:t>
      </w:r>
      <w:r w:rsidRPr="008763F8">
        <w:rPr>
          <w:rStyle w:val="doilink"/>
          <w:rFonts w:ascii="Open Sans" w:hAnsi="Open Sans" w:cs="Open Sans"/>
          <w:b/>
          <w:bCs/>
          <w:color w:val="333333"/>
          <w:sz w:val="22"/>
          <w:szCs w:val="22"/>
        </w:rPr>
        <w:t>DOI:</w:t>
      </w:r>
      <w:r w:rsidRPr="008763F8">
        <w:rPr>
          <w:rStyle w:val="apple-converted-space"/>
          <w:rFonts w:ascii="Open Sans" w:hAnsi="Open Sans" w:cs="Open Sans"/>
          <w:b/>
          <w:bCs/>
          <w:color w:val="333333"/>
          <w:sz w:val="22"/>
          <w:szCs w:val="22"/>
        </w:rPr>
        <w:t> </w:t>
      </w:r>
      <w:hyperlink r:id="rId4" w:history="1">
        <w:r w:rsidRPr="008763F8">
          <w:rPr>
            <w:rStyle w:val="Hyperlink"/>
            <w:rFonts w:ascii="Open Sans" w:hAnsi="Open Sans" w:cs="Open Sans"/>
            <w:b/>
            <w:bCs/>
            <w:color w:val="333333"/>
            <w:sz w:val="22"/>
            <w:szCs w:val="22"/>
          </w:rPr>
          <w:t>10.1080/02687038.2021.2016594</w:t>
        </w:r>
      </w:hyperlink>
    </w:p>
    <w:p w14:paraId="6EF11ACE" w14:textId="77777777" w:rsidR="008763F8" w:rsidRPr="008763F8" w:rsidRDefault="008763F8" w:rsidP="00C04E6D">
      <w:pPr>
        <w:rPr>
          <w:rStyle w:val="doilink"/>
          <w:rFonts w:ascii="Open Sans" w:hAnsi="Open Sans" w:cs="Open Sans"/>
          <w:b/>
          <w:bCs/>
          <w:color w:val="333333"/>
          <w:sz w:val="22"/>
          <w:szCs w:val="22"/>
        </w:rPr>
      </w:pPr>
    </w:p>
    <w:p w14:paraId="4B0B85AB" w14:textId="556C29E3" w:rsidR="008763F8" w:rsidRPr="008763F8" w:rsidRDefault="008763F8" w:rsidP="008763F8">
      <w:pPr>
        <w:pStyle w:val="Heading3"/>
        <w:spacing w:before="240" w:beforeAutospacing="0" w:after="0" w:afterAutospacing="0"/>
        <w:rPr>
          <w:rFonts w:ascii="Open Sans" w:hAnsi="Open Sans" w:cs="Open Sans"/>
          <w:color w:val="333333"/>
          <w:sz w:val="22"/>
          <w:szCs w:val="22"/>
        </w:rPr>
      </w:pPr>
      <w:proofErr w:type="gramStart"/>
      <w:r w:rsidRPr="008763F8">
        <w:rPr>
          <w:rFonts w:ascii="Open Sans" w:hAnsi="Open Sans" w:cs="Open Sans"/>
          <w:color w:val="333333"/>
          <w:sz w:val="22"/>
          <w:szCs w:val="22"/>
        </w:rPr>
        <w:t>Background</w:t>
      </w:r>
      <w:r>
        <w:rPr>
          <w:rStyle w:val="apple-converted-space"/>
          <w:rFonts w:ascii="Open Sans" w:hAnsi="Open Sans" w:cs="Open Sans"/>
          <w:color w:val="333333"/>
          <w:sz w:val="22"/>
          <w:szCs w:val="22"/>
        </w:rPr>
        <w:t>;</w:t>
      </w:r>
      <w:proofErr w:type="gramEnd"/>
      <w:r>
        <w:rPr>
          <w:rStyle w:val="apple-converted-space"/>
          <w:rFonts w:ascii="Open Sans" w:hAnsi="Open Sans" w:cs="Open Sans"/>
          <w:color w:val="333333"/>
          <w:sz w:val="22"/>
          <w:szCs w:val="22"/>
        </w:rPr>
        <w:t xml:space="preserve"> </w:t>
      </w:r>
      <w:r w:rsidRPr="008763F8">
        <w:rPr>
          <w:rFonts w:ascii="Open Sans" w:hAnsi="Open Sans" w:cs="Open Sans"/>
          <w:b w:val="0"/>
          <w:bCs w:val="0"/>
          <w:color w:val="333333"/>
          <w:sz w:val="22"/>
          <w:szCs w:val="22"/>
        </w:rPr>
        <w:t>Treatment success is the desired outcome in aphasia rehabilitation. However, to date, there is a lack of consensus on what defines a 'successful' result on a given aphasia outcome measurement instrument (OMI).</w:t>
      </w:r>
    </w:p>
    <w:p w14:paraId="54D162E3" w14:textId="62396550" w:rsidR="008763F8" w:rsidRPr="008763F8" w:rsidRDefault="008763F8" w:rsidP="008763F8">
      <w:pPr>
        <w:pStyle w:val="last"/>
        <w:spacing w:before="120" w:beforeAutospacing="0" w:after="120" w:afterAutospacing="0"/>
        <w:rPr>
          <w:rFonts w:ascii="Open Sans" w:hAnsi="Open Sans" w:cs="Open Sans"/>
          <w:color w:val="333333"/>
          <w:sz w:val="22"/>
          <w:szCs w:val="22"/>
        </w:rPr>
      </w:pPr>
      <w:proofErr w:type="gramStart"/>
      <w:r w:rsidRPr="008763F8">
        <w:rPr>
          <w:rFonts w:ascii="Open Sans" w:hAnsi="Open Sans" w:cs="Open Sans"/>
          <w:b/>
          <w:bCs/>
          <w:color w:val="333333"/>
          <w:sz w:val="22"/>
          <w:szCs w:val="22"/>
        </w:rPr>
        <w:t>Aim</w:t>
      </w:r>
      <w:r>
        <w:rPr>
          <w:rFonts w:ascii="Open Sans" w:hAnsi="Open Sans" w:cs="Open Sans"/>
          <w:color w:val="333333"/>
          <w:sz w:val="22"/>
          <w:szCs w:val="22"/>
        </w:rPr>
        <w:t>;</w:t>
      </w:r>
      <w:proofErr w:type="gramEnd"/>
      <w:r>
        <w:rPr>
          <w:rFonts w:ascii="Open Sans" w:hAnsi="Open Sans" w:cs="Open Sans"/>
          <w:color w:val="333333"/>
          <w:sz w:val="22"/>
          <w:szCs w:val="22"/>
        </w:rPr>
        <w:t xml:space="preserve"> In</w:t>
      </w:r>
      <w:r w:rsidRPr="008763F8">
        <w:rPr>
          <w:rFonts w:ascii="Open Sans" w:hAnsi="Open Sans" w:cs="Open Sans"/>
          <w:color w:val="333333"/>
          <w:sz w:val="22"/>
          <w:szCs w:val="22"/>
        </w:rPr>
        <w:t xml:space="preserve"> this methodological paper, we present strategies for how to define and measure treatment success on a given OMI at the group-level, as well as for an individual person with aphasia. The latter is particularly important when research findings from group studies are clinically implemented for individuals in rehabilitation.</w:t>
      </w:r>
    </w:p>
    <w:p w14:paraId="3ABF266C" w14:textId="3D502F4D" w:rsidR="008763F8" w:rsidRPr="008763F8" w:rsidRDefault="008763F8" w:rsidP="008763F8">
      <w:pPr>
        <w:pStyle w:val="last"/>
        <w:spacing w:before="120" w:beforeAutospacing="0" w:after="120" w:afterAutospacing="0"/>
        <w:rPr>
          <w:rFonts w:ascii="Open Sans" w:hAnsi="Open Sans" w:cs="Open Sans"/>
          <w:color w:val="333333"/>
          <w:sz w:val="22"/>
          <w:szCs w:val="22"/>
        </w:rPr>
      </w:pPr>
      <w:proofErr w:type="gramStart"/>
      <w:r w:rsidRPr="008763F8">
        <w:rPr>
          <w:rFonts w:ascii="Open Sans" w:hAnsi="Open Sans" w:cs="Open Sans"/>
          <w:b/>
          <w:bCs/>
          <w:color w:val="333333"/>
          <w:sz w:val="22"/>
          <w:szCs w:val="22"/>
        </w:rPr>
        <w:t>Scope</w:t>
      </w:r>
      <w:r>
        <w:rPr>
          <w:rFonts w:ascii="Open Sans" w:hAnsi="Open Sans" w:cs="Open Sans"/>
          <w:color w:val="333333"/>
          <w:sz w:val="22"/>
          <w:szCs w:val="22"/>
        </w:rPr>
        <w:t>;</w:t>
      </w:r>
      <w:proofErr w:type="gramEnd"/>
      <w:r>
        <w:rPr>
          <w:rFonts w:ascii="Open Sans" w:hAnsi="Open Sans" w:cs="Open Sans"/>
          <w:color w:val="333333"/>
          <w:sz w:val="22"/>
          <w:szCs w:val="22"/>
        </w:rPr>
        <w:t xml:space="preserve"> </w:t>
      </w:r>
      <w:r w:rsidRPr="008763F8">
        <w:rPr>
          <w:rFonts w:ascii="Open Sans" w:hAnsi="Open Sans" w:cs="Open Sans"/>
          <w:color w:val="333333"/>
          <w:sz w:val="22"/>
          <w:szCs w:val="22"/>
        </w:rPr>
        <w:t>We start by presenting methods to calculate the average</w:t>
      </w:r>
      <w:r w:rsidRPr="008763F8">
        <w:rPr>
          <w:rStyle w:val="apple-converted-space"/>
          <w:rFonts w:ascii="Open Sans" w:hAnsi="Open Sans" w:cs="Open Sans"/>
          <w:color w:val="333333"/>
          <w:sz w:val="22"/>
          <w:szCs w:val="22"/>
        </w:rPr>
        <w:t> </w:t>
      </w:r>
      <w:r w:rsidRPr="008763F8">
        <w:rPr>
          <w:rFonts w:ascii="Open Sans" w:hAnsi="Open Sans" w:cs="Open Sans"/>
          <w:i/>
          <w:iCs/>
          <w:color w:val="333333"/>
          <w:sz w:val="22"/>
          <w:szCs w:val="22"/>
        </w:rPr>
        <w:t>statistically significant</w:t>
      </w:r>
      <w:r w:rsidRPr="008763F8">
        <w:rPr>
          <w:rStyle w:val="apple-converted-space"/>
          <w:rFonts w:ascii="Open Sans" w:hAnsi="Open Sans" w:cs="Open Sans"/>
          <w:color w:val="333333"/>
          <w:sz w:val="22"/>
          <w:szCs w:val="22"/>
        </w:rPr>
        <w:t> </w:t>
      </w:r>
      <w:r w:rsidRPr="008763F8">
        <w:rPr>
          <w:rFonts w:ascii="Open Sans" w:hAnsi="Open Sans" w:cs="Open Sans"/>
          <w:color w:val="333333"/>
          <w:sz w:val="22"/>
          <w:szCs w:val="22"/>
        </w:rPr>
        <w:t>change across several (group) studies (e.g., standardised mean difference, raw unstandardised mean difference) for a given OMI. Such metrics are useful to summarise the overall effect of the intervention of interest, particularly in meta-analyses. However, benchmarks based on group effects are not feasible for assessing an individual participant’s treatment success and thus for determining the proportion of patients who had a beneficial response to therapy (overall response rate of an intervention). We therefore recommend a distribution-based approach to determine benchmarks of a</w:t>
      </w:r>
      <w:r w:rsidRPr="008763F8">
        <w:rPr>
          <w:rStyle w:val="apple-converted-space"/>
          <w:rFonts w:ascii="Open Sans" w:hAnsi="Open Sans" w:cs="Open Sans"/>
          <w:color w:val="333333"/>
          <w:sz w:val="22"/>
          <w:szCs w:val="22"/>
        </w:rPr>
        <w:t> </w:t>
      </w:r>
      <w:r w:rsidRPr="008763F8">
        <w:rPr>
          <w:rFonts w:ascii="Open Sans" w:hAnsi="Open Sans" w:cs="Open Sans"/>
          <w:i/>
          <w:iCs/>
          <w:color w:val="333333"/>
          <w:sz w:val="22"/>
          <w:szCs w:val="22"/>
        </w:rPr>
        <w:t>statistically significant</w:t>
      </w:r>
      <w:r w:rsidRPr="008763F8">
        <w:rPr>
          <w:rStyle w:val="apple-converted-space"/>
          <w:rFonts w:ascii="Open Sans" w:hAnsi="Open Sans" w:cs="Open Sans"/>
          <w:color w:val="333333"/>
          <w:sz w:val="22"/>
          <w:szCs w:val="22"/>
        </w:rPr>
        <w:t> </w:t>
      </w:r>
      <w:r w:rsidRPr="008763F8">
        <w:rPr>
          <w:rFonts w:ascii="Open Sans" w:hAnsi="Open Sans" w:cs="Open Sans"/>
          <w:color w:val="333333"/>
          <w:sz w:val="22"/>
          <w:szCs w:val="22"/>
        </w:rPr>
        <w:t>treatment response at the individual level, i.e., the 'smallest detectable change' for a given OMI, which refers to the smallest change that can be detected by the OMI beyond measurement error. However, the statistical significance of an individual treatment effect does not necessarily correspond to its clinical impact. This requires an additional indicator. The benchmark to determine a</w:t>
      </w:r>
      <w:r w:rsidRPr="008763F8">
        <w:rPr>
          <w:rStyle w:val="apple-converted-space"/>
          <w:rFonts w:ascii="Open Sans" w:hAnsi="Open Sans" w:cs="Open Sans"/>
          <w:color w:val="333333"/>
          <w:sz w:val="22"/>
          <w:szCs w:val="22"/>
        </w:rPr>
        <w:t> </w:t>
      </w:r>
      <w:r w:rsidRPr="008763F8">
        <w:rPr>
          <w:rFonts w:ascii="Open Sans" w:hAnsi="Open Sans" w:cs="Open Sans"/>
          <w:i/>
          <w:iCs/>
          <w:color w:val="333333"/>
          <w:sz w:val="22"/>
          <w:szCs w:val="22"/>
        </w:rPr>
        <w:t>clinically relevant</w:t>
      </w:r>
      <w:r w:rsidRPr="008763F8">
        <w:rPr>
          <w:rStyle w:val="apple-converted-space"/>
          <w:rFonts w:ascii="Open Sans" w:hAnsi="Open Sans" w:cs="Open Sans"/>
          <w:color w:val="333333"/>
          <w:sz w:val="22"/>
          <w:szCs w:val="22"/>
        </w:rPr>
        <w:t> </w:t>
      </w:r>
      <w:r w:rsidRPr="008763F8">
        <w:rPr>
          <w:rFonts w:ascii="Open Sans" w:hAnsi="Open Sans" w:cs="Open Sans"/>
          <w:color w:val="333333"/>
          <w:sz w:val="22"/>
          <w:szCs w:val="22"/>
        </w:rPr>
        <w:t>improvement on a given OMI is the 'minimal important change'. The minimally important change is defined as the smallest OMI change score perceived as</w:t>
      </w:r>
      <w:r w:rsidRPr="008763F8">
        <w:rPr>
          <w:rStyle w:val="apple-converted-space"/>
          <w:rFonts w:ascii="Open Sans" w:hAnsi="Open Sans" w:cs="Open Sans"/>
          <w:color w:val="333333"/>
          <w:sz w:val="22"/>
          <w:szCs w:val="22"/>
        </w:rPr>
        <w:t> </w:t>
      </w:r>
      <w:r w:rsidRPr="008763F8">
        <w:rPr>
          <w:rFonts w:ascii="Open Sans" w:hAnsi="Open Sans" w:cs="Open Sans"/>
          <w:i/>
          <w:iCs/>
          <w:color w:val="333333"/>
          <w:sz w:val="22"/>
          <w:szCs w:val="22"/>
        </w:rPr>
        <w:t>important</w:t>
      </w:r>
      <w:r w:rsidRPr="008763F8">
        <w:rPr>
          <w:rStyle w:val="apple-converted-space"/>
          <w:rFonts w:ascii="Open Sans" w:hAnsi="Open Sans" w:cs="Open Sans"/>
          <w:color w:val="333333"/>
          <w:sz w:val="22"/>
          <w:szCs w:val="22"/>
        </w:rPr>
        <w:t> </w:t>
      </w:r>
      <w:r w:rsidRPr="008763F8">
        <w:rPr>
          <w:rFonts w:ascii="Open Sans" w:hAnsi="Open Sans" w:cs="Open Sans"/>
          <w:color w:val="333333"/>
          <w:sz w:val="22"/>
          <w:szCs w:val="22"/>
        </w:rPr>
        <w:t>by the relevant stakeholder group (i.e., people with aphasia, their relatives/caregivers, clinicians). It therefore requires relating the individual OMI change scores to 'anchors', i.e., meaningful external criteria, preferably based on patient-perceived therapy success. Currently, there is no consensus regarding the optimal 'anchors' and their respective definition of clinically important change in aphasia outcome research.</w:t>
      </w:r>
    </w:p>
    <w:p w14:paraId="5ED53166" w14:textId="15F8A7BC" w:rsidR="008763F8" w:rsidRPr="008763F8" w:rsidRDefault="008763F8" w:rsidP="008763F8">
      <w:pPr>
        <w:pStyle w:val="Heading3"/>
        <w:spacing w:before="240" w:beforeAutospacing="0" w:after="0" w:afterAutospacing="0"/>
        <w:rPr>
          <w:rFonts w:ascii="Open Sans" w:hAnsi="Open Sans" w:cs="Open Sans"/>
          <w:b w:val="0"/>
          <w:bCs w:val="0"/>
          <w:color w:val="333333"/>
          <w:sz w:val="22"/>
          <w:szCs w:val="22"/>
        </w:rPr>
      </w:pPr>
      <w:r w:rsidRPr="008763F8">
        <w:rPr>
          <w:rFonts w:ascii="Open Sans" w:hAnsi="Open Sans" w:cs="Open Sans"/>
          <w:color w:val="333333"/>
          <w:sz w:val="22"/>
          <w:szCs w:val="22"/>
        </w:rPr>
        <w:t>Conclusions/Recommendations</w:t>
      </w:r>
      <w:r>
        <w:rPr>
          <w:rStyle w:val="apple-converted-space"/>
          <w:rFonts w:ascii="Open Sans" w:hAnsi="Open Sans" w:cs="Open Sans"/>
          <w:color w:val="333333"/>
          <w:sz w:val="22"/>
          <w:szCs w:val="22"/>
        </w:rPr>
        <w:t xml:space="preserve">; </w:t>
      </w:r>
      <w:r w:rsidRPr="008763F8">
        <w:rPr>
          <w:rFonts w:ascii="Open Sans" w:hAnsi="Open Sans" w:cs="Open Sans"/>
          <w:b w:val="0"/>
          <w:bCs w:val="0"/>
          <w:color w:val="333333"/>
          <w:sz w:val="22"/>
          <w:szCs w:val="22"/>
        </w:rPr>
        <w:t xml:space="preserve">Operationalising individual treatment success based on both statistically significant and (patient-reported) clinically meaningful benchmarks </w:t>
      </w:r>
      <w:proofErr w:type="gramStart"/>
      <w:r w:rsidRPr="008763F8">
        <w:rPr>
          <w:rFonts w:ascii="Open Sans" w:hAnsi="Open Sans" w:cs="Open Sans"/>
          <w:b w:val="0"/>
          <w:bCs w:val="0"/>
          <w:color w:val="333333"/>
          <w:sz w:val="22"/>
          <w:szCs w:val="22"/>
        </w:rPr>
        <w:t>is</w:t>
      </w:r>
      <w:proofErr w:type="gramEnd"/>
      <w:r w:rsidRPr="008763F8">
        <w:rPr>
          <w:rFonts w:ascii="Open Sans" w:hAnsi="Open Sans" w:cs="Open Sans"/>
          <w:b w:val="0"/>
          <w:bCs w:val="0"/>
          <w:color w:val="333333"/>
          <w:sz w:val="22"/>
          <w:szCs w:val="22"/>
        </w:rPr>
        <w:t xml:space="preserve"> a key priority in aphasia rehabilitation. Availability of such measures will (a) facilitate estimates of therapy response rate in intervention studies and thus optimise therapeutic decisions and (b) provide stakeholder groups (e.g., the society, the stroke team, people with aphasia, family, clinicians, healthcare professionals) with objective, statistically reliable and meaningful feedback on individual treatment response in the clinical setting.</w:t>
      </w:r>
    </w:p>
    <w:p w14:paraId="7B1F866A" w14:textId="77777777" w:rsidR="008763F8" w:rsidRPr="008763F8" w:rsidRDefault="008763F8" w:rsidP="00C04E6D">
      <w:pPr>
        <w:rPr>
          <w:rFonts w:ascii="Calibri" w:hAnsi="Calibri" w:cs="Calibri"/>
          <w:b/>
          <w:bCs/>
          <w:sz w:val="22"/>
          <w:szCs w:val="22"/>
        </w:rPr>
      </w:pPr>
    </w:p>
    <w:sectPr w:rsidR="008763F8" w:rsidRPr="008763F8"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1619C2"/>
    <w:rsid w:val="004F7114"/>
    <w:rsid w:val="005314D3"/>
    <w:rsid w:val="0076765D"/>
    <w:rsid w:val="007B79D4"/>
    <w:rsid w:val="008763F8"/>
    <w:rsid w:val="00A51618"/>
    <w:rsid w:val="00A57C9C"/>
    <w:rsid w:val="00AB21C1"/>
    <w:rsid w:val="00B93685"/>
    <w:rsid w:val="00C04E6D"/>
    <w:rsid w:val="00C3527E"/>
    <w:rsid w:val="00C40B0D"/>
    <w:rsid w:val="00C9258C"/>
    <w:rsid w:val="00D0261B"/>
    <w:rsid w:val="00D1582F"/>
    <w:rsid w:val="00D23E75"/>
    <w:rsid w:val="00D5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
    <w:name w:val="date"/>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volumeissue">
    <w:name w:val="volume_issue"/>
    <w:basedOn w:val="DefaultParagraphFont"/>
    <w:rsid w:val="008763F8"/>
  </w:style>
  <w:style w:type="character" w:customStyle="1" w:styleId="pagerange">
    <w:name w:val="page_range"/>
    <w:basedOn w:val="DefaultParagraphFont"/>
    <w:rsid w:val="0087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1122575004">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1.2016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2</cp:revision>
  <dcterms:created xsi:type="dcterms:W3CDTF">2023-11-01T19:30:00Z</dcterms:created>
  <dcterms:modified xsi:type="dcterms:W3CDTF">2023-11-01T19:30:00Z</dcterms:modified>
</cp:coreProperties>
</file>