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A25A5" w14:textId="14968443" w:rsidR="009F172B" w:rsidRDefault="009F172B" w:rsidP="009F172B">
      <w:pPr>
        <w:pStyle w:val="Heading1"/>
        <w:rPr>
          <w:rStyle w:val="article-headerdoi"/>
          <w:rFonts w:ascii="Calibri" w:hAnsi="Calibri" w:cs="Calibri"/>
          <w:color w:val="000000" w:themeColor="text1"/>
          <w:sz w:val="24"/>
          <w:szCs w:val="24"/>
        </w:rPr>
      </w:pPr>
      <w:proofErr w:type="spellStart"/>
      <w:r w:rsidRPr="009F172B">
        <w:rPr>
          <w:rFonts w:ascii="Calibri" w:hAnsi="Calibri" w:cs="Calibri"/>
          <w:b/>
          <w:bCs/>
          <w:color w:val="000000" w:themeColor="text1"/>
          <w:sz w:val="24"/>
          <w:szCs w:val="24"/>
        </w:rPr>
        <w:t>Varkanitsa</w:t>
      </w:r>
      <w:proofErr w:type="spellEnd"/>
      <w:r w:rsidRPr="009F172B">
        <w:rPr>
          <w:rFonts w:ascii="Calibri" w:hAnsi="Calibri" w:cs="Calibri"/>
          <w:b/>
          <w:bCs/>
          <w:color w:val="000000" w:themeColor="text1"/>
          <w:sz w:val="24"/>
          <w:szCs w:val="24"/>
        </w:rPr>
        <w:t xml:space="preserve">, M., </w:t>
      </w:r>
      <w:proofErr w:type="spellStart"/>
      <w:r w:rsidRPr="009F172B">
        <w:rPr>
          <w:rFonts w:ascii="Calibri" w:hAnsi="Calibri" w:cs="Calibri"/>
          <w:b/>
          <w:bCs/>
          <w:color w:val="000000" w:themeColor="text1"/>
          <w:sz w:val="24"/>
          <w:szCs w:val="24"/>
        </w:rPr>
        <w:t>Penaloza</w:t>
      </w:r>
      <w:proofErr w:type="spellEnd"/>
      <w:r w:rsidRPr="009F172B">
        <w:rPr>
          <w:rFonts w:ascii="Calibri" w:hAnsi="Calibri" w:cs="Calibri"/>
          <w:b/>
          <w:bCs/>
          <w:color w:val="000000" w:themeColor="text1"/>
          <w:sz w:val="24"/>
          <w:szCs w:val="24"/>
        </w:rPr>
        <w:t xml:space="preserve">, C., </w:t>
      </w:r>
      <w:proofErr w:type="spellStart"/>
      <w:r w:rsidRPr="009F172B">
        <w:rPr>
          <w:rFonts w:ascii="Calibri" w:hAnsi="Calibri" w:cs="Calibri"/>
          <w:b/>
          <w:bCs/>
          <w:color w:val="000000" w:themeColor="text1"/>
          <w:sz w:val="24"/>
          <w:szCs w:val="24"/>
        </w:rPr>
        <w:t>Charidmou</w:t>
      </w:r>
      <w:proofErr w:type="spellEnd"/>
      <w:r w:rsidRPr="009F172B">
        <w:rPr>
          <w:rFonts w:ascii="Calibri" w:hAnsi="Calibri" w:cs="Calibri"/>
          <w:b/>
          <w:bCs/>
          <w:color w:val="000000" w:themeColor="text1"/>
          <w:sz w:val="24"/>
          <w:szCs w:val="24"/>
        </w:rPr>
        <w:t xml:space="preserve">, A. &amp; Kiran, S. (2023) </w:t>
      </w:r>
      <w:r w:rsidRPr="009F172B">
        <w:rPr>
          <w:rFonts w:ascii="Calibri" w:hAnsi="Calibri" w:cs="Calibri"/>
          <w:b/>
          <w:bCs/>
          <w:color w:val="000000" w:themeColor="text1"/>
          <w:sz w:val="24"/>
          <w:szCs w:val="24"/>
        </w:rPr>
        <w:t>Cerebral Small Vessel Disease burden: An independent biomarker for anomia treatment responsiveness in chronic stroke patients with aphasia</w:t>
      </w:r>
      <w:r w:rsidRPr="009F172B">
        <w:rPr>
          <w:rFonts w:ascii="Calibri" w:hAnsi="Calibri" w:cs="Calibri"/>
          <w:b/>
          <w:bCs/>
          <w:color w:val="000000" w:themeColor="text1"/>
          <w:sz w:val="24"/>
          <w:szCs w:val="24"/>
        </w:rPr>
        <w:t xml:space="preserve"> </w:t>
      </w:r>
      <w:hyperlink r:id="rId5" w:history="1">
        <w:r w:rsidRPr="009F172B">
          <w:rPr>
            <w:rStyle w:val="Hyperlink"/>
            <w:rFonts w:ascii="Calibri" w:hAnsi="Calibri" w:cs="Calibri"/>
            <w:color w:val="000000" w:themeColor="text1"/>
            <w:sz w:val="24"/>
            <w:szCs w:val="24"/>
          </w:rPr>
          <w:t>https://doi.org/10.1016/j.apmr.2023.05.008</w:t>
        </w:r>
      </w:hyperlink>
    </w:p>
    <w:p w14:paraId="17131CA1" w14:textId="77777777" w:rsidR="009F172B" w:rsidRPr="009F172B" w:rsidRDefault="009F172B" w:rsidP="009F172B"/>
    <w:p w14:paraId="32B32E75" w14:textId="4174559B" w:rsidR="009F172B" w:rsidRPr="009F172B" w:rsidRDefault="009F172B" w:rsidP="009F172B">
      <w:pPr>
        <w:spacing w:after="100" w:afterAutospacing="1"/>
        <w:outlineLvl w:val="2"/>
        <w:rPr>
          <w:rFonts w:ascii="Calibri" w:eastAsia="Times New Roman" w:hAnsi="Calibri" w:cs="Calibri"/>
          <w:b/>
          <w:bCs/>
          <w:color w:val="000000" w:themeColor="text1"/>
          <w:lang w:eastAsia="en-GB"/>
        </w:rPr>
      </w:pPr>
      <w:proofErr w:type="gramStart"/>
      <w:r w:rsidRPr="009F172B">
        <w:rPr>
          <w:rFonts w:ascii="Calibri" w:eastAsia="Times New Roman" w:hAnsi="Calibri" w:cs="Calibri"/>
          <w:b/>
          <w:bCs/>
          <w:color w:val="000000" w:themeColor="text1"/>
          <w:lang w:eastAsia="en-GB"/>
        </w:rPr>
        <w:t>Objective</w:t>
      </w:r>
      <w:r>
        <w:rPr>
          <w:rFonts w:ascii="Calibri" w:eastAsia="Times New Roman" w:hAnsi="Calibri" w:cs="Calibri"/>
          <w:b/>
          <w:bCs/>
          <w:color w:val="000000" w:themeColor="text1"/>
          <w:lang w:eastAsia="en-GB"/>
        </w:rPr>
        <w:t>;</w:t>
      </w:r>
      <w:proofErr w:type="gramEnd"/>
      <w:r>
        <w:rPr>
          <w:rFonts w:ascii="Calibri" w:eastAsia="Times New Roman" w:hAnsi="Calibri" w:cs="Calibri"/>
          <w:b/>
          <w:bCs/>
          <w:color w:val="000000" w:themeColor="text1"/>
          <w:lang w:eastAsia="en-GB"/>
        </w:rPr>
        <w:t xml:space="preserve"> </w:t>
      </w:r>
      <w:r w:rsidRPr="009F172B">
        <w:rPr>
          <w:rFonts w:ascii="Calibri" w:eastAsia="Times New Roman" w:hAnsi="Calibri" w:cs="Calibri"/>
          <w:color w:val="000000" w:themeColor="text1"/>
          <w:lang w:eastAsia="en-GB"/>
        </w:rPr>
        <w:t>To determine whether MRI-based cerebral small vessel disease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burden predicts treatment-induced aphasia recovery in chronic stroke patients above and beyond initial aphasia severity and stroke-lesion volume.</w:t>
      </w:r>
    </w:p>
    <w:p w14:paraId="54888656" w14:textId="77777777" w:rsidR="009F172B" w:rsidRDefault="009F172B" w:rsidP="009F172B">
      <w:pPr>
        <w:rPr>
          <w:rFonts w:ascii="Calibri" w:eastAsia="Times New Roman" w:hAnsi="Calibri" w:cs="Calibri"/>
          <w:color w:val="000000" w:themeColor="text1"/>
          <w:lang w:eastAsia="en-GB"/>
        </w:rPr>
      </w:pPr>
    </w:p>
    <w:p w14:paraId="7082B2A2" w14:textId="31E11DA0" w:rsidR="009F172B" w:rsidRPr="009F172B" w:rsidRDefault="009F172B" w:rsidP="009F172B">
      <w:pPr>
        <w:spacing w:after="100" w:afterAutospacing="1"/>
        <w:outlineLvl w:val="2"/>
        <w:rPr>
          <w:rFonts w:ascii="Calibri" w:eastAsia="Times New Roman" w:hAnsi="Calibri" w:cs="Calibri"/>
          <w:b/>
          <w:bCs/>
          <w:color w:val="000000" w:themeColor="text1"/>
          <w:lang w:eastAsia="en-GB"/>
        </w:rPr>
      </w:pPr>
      <w:r w:rsidRPr="009F172B">
        <w:rPr>
          <w:rFonts w:ascii="Calibri" w:eastAsia="Times New Roman" w:hAnsi="Calibri" w:cs="Calibri"/>
          <w:b/>
          <w:bCs/>
          <w:color w:val="000000" w:themeColor="text1"/>
          <w:lang w:eastAsia="en-GB"/>
        </w:rPr>
        <w:t>Design</w:t>
      </w:r>
      <w:r>
        <w:rPr>
          <w:rFonts w:ascii="Calibri" w:eastAsia="Times New Roman" w:hAnsi="Calibri" w:cs="Calibri"/>
          <w:b/>
          <w:bCs/>
          <w:color w:val="000000" w:themeColor="text1"/>
          <w:lang w:eastAsia="en-GB"/>
        </w:rPr>
        <w:t xml:space="preserve">; </w:t>
      </w:r>
      <w:r w:rsidRPr="009F172B">
        <w:rPr>
          <w:rFonts w:ascii="Calibri" w:eastAsia="Times New Roman" w:hAnsi="Calibri" w:cs="Calibri"/>
          <w:color w:val="000000" w:themeColor="text1"/>
          <w:lang w:eastAsia="en-GB"/>
        </w:rPr>
        <w:t xml:space="preserve">Retrospective. Four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xml:space="preserve"> neuroimaging markers were rated using validated visual scales: white matter hyperintensities, enlarged perivascular spaces, lacunes and global cortical atrophy. We also calculated a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xml:space="preserve"> total score. We employed linear regression models to model treatment response as a function of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xml:space="preserve"> burden. We also ran correlation analyses to determine the association among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xml:space="preserve"> burden and pre-treatment linguistic and non-linguistic cognition.</w:t>
      </w:r>
    </w:p>
    <w:p w14:paraId="20331D19" w14:textId="77777777" w:rsidR="00700A93" w:rsidRPr="009F172B" w:rsidRDefault="00000000">
      <w:pPr>
        <w:rPr>
          <w:rFonts w:ascii="Calibri" w:hAnsi="Calibri" w:cs="Calibri"/>
          <w:color w:val="000000" w:themeColor="text1"/>
        </w:rPr>
      </w:pPr>
    </w:p>
    <w:p w14:paraId="52A47359" w14:textId="7CBE0A37" w:rsidR="009F172B" w:rsidRPr="009F172B" w:rsidRDefault="009F172B" w:rsidP="009F172B">
      <w:pPr>
        <w:spacing w:after="100" w:afterAutospacing="1"/>
        <w:outlineLvl w:val="2"/>
        <w:rPr>
          <w:rFonts w:ascii="Calibri" w:eastAsia="Times New Roman" w:hAnsi="Calibri" w:cs="Calibri"/>
          <w:b/>
          <w:bCs/>
          <w:color w:val="000000" w:themeColor="text1"/>
          <w:lang w:eastAsia="en-GB"/>
        </w:rPr>
      </w:pPr>
      <w:proofErr w:type="gramStart"/>
      <w:r w:rsidRPr="009F172B">
        <w:rPr>
          <w:rFonts w:ascii="Calibri" w:eastAsia="Times New Roman" w:hAnsi="Calibri" w:cs="Calibri"/>
          <w:b/>
          <w:bCs/>
          <w:color w:val="000000" w:themeColor="text1"/>
          <w:lang w:eastAsia="en-GB"/>
        </w:rPr>
        <w:t>Participants</w:t>
      </w:r>
      <w:r>
        <w:rPr>
          <w:rFonts w:ascii="Calibri" w:eastAsia="Times New Roman" w:hAnsi="Calibri" w:cs="Calibri"/>
          <w:b/>
          <w:bCs/>
          <w:color w:val="000000" w:themeColor="text1"/>
          <w:lang w:eastAsia="en-GB"/>
        </w:rPr>
        <w:t>;</w:t>
      </w:r>
      <w:proofErr w:type="gramEnd"/>
      <w:r>
        <w:rPr>
          <w:rFonts w:ascii="Calibri" w:eastAsia="Times New Roman" w:hAnsi="Calibri" w:cs="Calibri"/>
          <w:b/>
          <w:bCs/>
          <w:color w:val="000000" w:themeColor="text1"/>
          <w:lang w:eastAsia="en-GB"/>
        </w:rPr>
        <w:t xml:space="preserve"> </w:t>
      </w:r>
      <w:r w:rsidRPr="009F172B">
        <w:rPr>
          <w:rFonts w:ascii="Calibri" w:eastAsia="Times New Roman" w:hAnsi="Calibri" w:cs="Calibri"/>
          <w:color w:val="000000" w:themeColor="text1"/>
          <w:lang w:eastAsia="en-GB"/>
        </w:rPr>
        <w:t xml:space="preserve">The study includes data from 30 chronic stroke patients with aphasia who received treatment for word finding difficulties and completed additional pre-treatment neuroimaging and </w:t>
      </w:r>
      <w:r w:rsidRPr="009F172B">
        <w:rPr>
          <w:rFonts w:ascii="Calibri" w:eastAsia="Times New Roman" w:hAnsi="Calibri" w:cs="Calibri"/>
          <w:color w:val="000000" w:themeColor="text1"/>
          <w:lang w:eastAsia="en-GB"/>
        </w:rPr>
        <w:t>behavioural</w:t>
      </w:r>
      <w:r w:rsidRPr="009F172B">
        <w:rPr>
          <w:rFonts w:ascii="Calibri" w:eastAsia="Times New Roman" w:hAnsi="Calibri" w:cs="Calibri"/>
          <w:color w:val="000000" w:themeColor="text1"/>
          <w:lang w:eastAsia="en-GB"/>
        </w:rPr>
        <w:t xml:space="preserve"> assessments.</w:t>
      </w:r>
    </w:p>
    <w:p w14:paraId="1780DB87" w14:textId="77777777" w:rsidR="009F172B" w:rsidRDefault="009F172B" w:rsidP="009F172B">
      <w:pPr>
        <w:rPr>
          <w:rFonts w:ascii="Calibri" w:eastAsia="Times New Roman" w:hAnsi="Calibri" w:cs="Calibri"/>
          <w:color w:val="000000" w:themeColor="text1"/>
          <w:lang w:eastAsia="en-GB"/>
        </w:rPr>
      </w:pPr>
    </w:p>
    <w:p w14:paraId="4853A907" w14:textId="38FD8C7C" w:rsidR="009F172B" w:rsidRPr="009F172B" w:rsidRDefault="009F172B" w:rsidP="009F172B">
      <w:pPr>
        <w:spacing w:after="100" w:afterAutospacing="1"/>
        <w:outlineLvl w:val="2"/>
        <w:rPr>
          <w:rFonts w:ascii="Calibri" w:eastAsia="Times New Roman" w:hAnsi="Calibri" w:cs="Calibri"/>
          <w:b/>
          <w:bCs/>
          <w:color w:val="000000" w:themeColor="text1"/>
          <w:lang w:eastAsia="en-GB"/>
        </w:rPr>
      </w:pPr>
      <w:r w:rsidRPr="009F172B">
        <w:rPr>
          <w:rFonts w:ascii="Calibri" w:eastAsia="Times New Roman" w:hAnsi="Calibri" w:cs="Calibri"/>
          <w:b/>
          <w:bCs/>
          <w:color w:val="000000" w:themeColor="text1"/>
          <w:lang w:eastAsia="en-GB"/>
        </w:rPr>
        <w:t>Interventions</w:t>
      </w:r>
      <w:r>
        <w:rPr>
          <w:rFonts w:ascii="Calibri" w:eastAsia="Times New Roman" w:hAnsi="Calibri" w:cs="Calibri"/>
          <w:b/>
          <w:bCs/>
          <w:color w:val="000000" w:themeColor="text1"/>
          <w:lang w:eastAsia="en-GB"/>
        </w:rPr>
        <w:t xml:space="preserve">; </w:t>
      </w:r>
      <w:r w:rsidRPr="009F172B">
        <w:rPr>
          <w:rFonts w:ascii="Calibri" w:eastAsia="Times New Roman" w:hAnsi="Calibri" w:cs="Calibri"/>
          <w:color w:val="000000" w:themeColor="text1"/>
          <w:lang w:eastAsia="en-GB"/>
        </w:rPr>
        <w:t>120-minute sessions of anomia treatment 2 times per week for up to 12 weeks.</w:t>
      </w:r>
    </w:p>
    <w:p w14:paraId="242DFB5C" w14:textId="61F441E4" w:rsidR="009F172B" w:rsidRPr="009F172B" w:rsidRDefault="009F172B" w:rsidP="009F172B">
      <w:pPr>
        <w:spacing w:after="100" w:afterAutospacing="1"/>
        <w:outlineLvl w:val="2"/>
        <w:rPr>
          <w:rFonts w:ascii="Calibri" w:eastAsia="Times New Roman" w:hAnsi="Calibri" w:cs="Calibri"/>
          <w:color w:val="000000" w:themeColor="text1"/>
          <w:lang w:eastAsia="en-GB"/>
        </w:rPr>
      </w:pPr>
      <w:r w:rsidRPr="009F172B">
        <w:rPr>
          <w:rFonts w:ascii="Calibri" w:eastAsia="Times New Roman" w:hAnsi="Calibri" w:cs="Calibri"/>
          <w:b/>
          <w:bCs/>
          <w:color w:val="000000" w:themeColor="text1"/>
          <w:lang w:eastAsia="en-GB"/>
        </w:rPr>
        <w:t xml:space="preserve">Main outcome </w:t>
      </w:r>
      <w:proofErr w:type="gramStart"/>
      <w:r w:rsidRPr="009F172B">
        <w:rPr>
          <w:rFonts w:ascii="Calibri" w:eastAsia="Times New Roman" w:hAnsi="Calibri" w:cs="Calibri"/>
          <w:b/>
          <w:bCs/>
          <w:color w:val="000000" w:themeColor="text1"/>
          <w:lang w:eastAsia="en-GB"/>
        </w:rPr>
        <w:t>measures</w:t>
      </w:r>
      <w:r w:rsidRPr="009F172B">
        <w:rPr>
          <w:rFonts w:ascii="Calibri" w:eastAsia="Times New Roman" w:hAnsi="Calibri" w:cs="Calibri"/>
          <w:b/>
          <w:bCs/>
          <w:color w:val="000000" w:themeColor="text1"/>
          <w:lang w:eastAsia="en-GB"/>
        </w:rPr>
        <w:t>;</w:t>
      </w:r>
      <w:proofErr w:type="gramEnd"/>
      <w:r>
        <w:rPr>
          <w:rFonts w:ascii="Calibri" w:eastAsia="Times New Roman" w:hAnsi="Calibri" w:cs="Calibri"/>
          <w:color w:val="000000" w:themeColor="text1"/>
          <w:lang w:eastAsia="en-GB"/>
        </w:rPr>
        <w:t xml:space="preserve"> </w:t>
      </w:r>
      <w:r w:rsidRPr="009F172B">
        <w:rPr>
          <w:rFonts w:ascii="Calibri" w:eastAsia="Times New Roman" w:hAnsi="Calibri" w:cs="Calibri"/>
          <w:color w:val="000000" w:themeColor="text1"/>
          <w:lang w:eastAsia="en-GB"/>
        </w:rPr>
        <w:t>Change in accuracy on the treatment probes measured as a percentage (i.e., change in accuracy percentage score = post-treatment accuracy percentage minus pre-treatment accuracy percentage).</w:t>
      </w:r>
    </w:p>
    <w:p w14:paraId="1310CEAB" w14:textId="77777777" w:rsidR="009F172B" w:rsidRPr="009F172B" w:rsidRDefault="009F172B" w:rsidP="009F172B">
      <w:pPr>
        <w:rPr>
          <w:rFonts w:ascii="Calibri" w:eastAsia="Times New Roman" w:hAnsi="Calibri" w:cs="Calibri"/>
          <w:color w:val="000000" w:themeColor="text1"/>
          <w:lang w:eastAsia="en-GB"/>
        </w:rPr>
      </w:pPr>
    </w:p>
    <w:p w14:paraId="0BF9F385" w14:textId="10FEECAC" w:rsidR="009F172B" w:rsidRPr="009F172B" w:rsidRDefault="009F172B" w:rsidP="009F172B">
      <w:pPr>
        <w:spacing w:after="100" w:afterAutospacing="1"/>
        <w:outlineLvl w:val="2"/>
        <w:rPr>
          <w:rFonts w:ascii="Calibri" w:eastAsia="Times New Roman" w:hAnsi="Calibri" w:cs="Calibri"/>
          <w:b/>
          <w:bCs/>
          <w:color w:val="000000" w:themeColor="text1"/>
          <w:lang w:eastAsia="en-GB"/>
        </w:rPr>
      </w:pPr>
      <w:proofErr w:type="gramStart"/>
      <w:r w:rsidRPr="009F172B">
        <w:rPr>
          <w:rFonts w:ascii="Calibri" w:eastAsia="Times New Roman" w:hAnsi="Calibri" w:cs="Calibri"/>
          <w:b/>
          <w:bCs/>
          <w:color w:val="000000" w:themeColor="text1"/>
          <w:lang w:eastAsia="en-GB"/>
        </w:rPr>
        <w:t>Results</w:t>
      </w:r>
      <w:r>
        <w:rPr>
          <w:rFonts w:ascii="Calibri" w:eastAsia="Times New Roman" w:hAnsi="Calibri" w:cs="Calibri"/>
          <w:b/>
          <w:bCs/>
          <w:color w:val="000000" w:themeColor="text1"/>
          <w:lang w:eastAsia="en-GB"/>
        </w:rPr>
        <w:t>;</w:t>
      </w:r>
      <w:proofErr w:type="gramEnd"/>
      <w:r>
        <w:rPr>
          <w:rFonts w:ascii="Calibri" w:eastAsia="Times New Roman" w:hAnsi="Calibri" w:cs="Calibri"/>
          <w:b/>
          <w:bCs/>
          <w:color w:val="000000" w:themeColor="text1"/>
          <w:lang w:eastAsia="en-GB"/>
        </w:rPr>
        <w:t xml:space="preserve"> </w:t>
      </w:r>
      <w:r w:rsidRPr="009F172B">
        <w:rPr>
          <w:rFonts w:ascii="Calibri" w:eastAsia="Times New Roman" w:hAnsi="Calibri" w:cs="Calibri"/>
          <w:color w:val="000000" w:themeColor="text1"/>
          <w:lang w:eastAsia="en-GB"/>
        </w:rPr>
        <w:t xml:space="preserve">Baseline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xml:space="preserve"> burden predicted response to anomia treatment independently from demographic and stroke-related factors. Patients with lower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xml:space="preserve"> burden exhibited enhanced rehabilitation response compared to those with higher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xml:space="preserve"> burden (β = -6.816e-02, </w:t>
      </w:r>
      <w:r w:rsidRPr="009F172B">
        <w:rPr>
          <w:rFonts w:ascii="Calibri" w:eastAsia="Times New Roman" w:hAnsi="Calibri" w:cs="Calibri"/>
          <w:i/>
          <w:iCs/>
          <w:color w:val="000000" w:themeColor="text1"/>
          <w:lang w:eastAsia="en-GB"/>
        </w:rPr>
        <w:t>p</w:t>
      </w:r>
      <w:r w:rsidRPr="009F172B">
        <w:rPr>
          <w:rFonts w:ascii="Calibri" w:eastAsia="Times New Roman" w:hAnsi="Calibri" w:cs="Calibri"/>
          <w:color w:val="000000" w:themeColor="text1"/>
          <w:lang w:eastAsia="en-GB"/>
        </w:rPr>
        <w:t xml:space="preserve"> = 0.019).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xml:space="preserve"> burden was highly associated with nonverbal executive function at baseline (r = -0.49, </w:t>
      </w:r>
      <w:r w:rsidRPr="009F172B">
        <w:rPr>
          <w:rFonts w:ascii="Calibri" w:eastAsia="Times New Roman" w:hAnsi="Calibri" w:cs="Calibri"/>
          <w:i/>
          <w:iCs/>
          <w:color w:val="000000" w:themeColor="text1"/>
          <w:lang w:eastAsia="en-GB"/>
        </w:rPr>
        <w:t>p</w:t>
      </w:r>
      <w:r w:rsidRPr="009F172B">
        <w:rPr>
          <w:rFonts w:ascii="Calibri" w:eastAsia="Times New Roman" w:hAnsi="Calibri" w:cs="Calibri"/>
          <w:color w:val="000000" w:themeColor="text1"/>
          <w:lang w:eastAsia="en-GB"/>
        </w:rPr>
        <w:t xml:space="preserve"> = 0.005): patients with lower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xml:space="preserve"> burden exhibited higher performance on nonverbal executive function tasks compared to participants with higher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xml:space="preserve"> burden. No association was observed among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xml:space="preserve"> burden and performance on language tasks at the baseline.</w:t>
      </w:r>
    </w:p>
    <w:p w14:paraId="617A17F5" w14:textId="77777777" w:rsidR="009F172B" w:rsidRDefault="009F172B" w:rsidP="009F172B">
      <w:pPr>
        <w:spacing w:after="100" w:afterAutospacing="1"/>
        <w:outlineLvl w:val="2"/>
        <w:rPr>
          <w:rFonts w:ascii="Calibri" w:eastAsia="Times New Roman" w:hAnsi="Calibri" w:cs="Calibri"/>
          <w:color w:val="000000" w:themeColor="text1"/>
          <w:lang w:eastAsia="en-GB"/>
        </w:rPr>
      </w:pPr>
    </w:p>
    <w:p w14:paraId="713EB353" w14:textId="257752E9" w:rsidR="009F172B" w:rsidRPr="009F172B" w:rsidRDefault="009F172B" w:rsidP="009F172B">
      <w:pPr>
        <w:spacing w:after="100" w:afterAutospacing="1"/>
        <w:outlineLvl w:val="2"/>
        <w:rPr>
          <w:rFonts w:ascii="Calibri" w:eastAsia="Times New Roman" w:hAnsi="Calibri" w:cs="Calibri"/>
          <w:b/>
          <w:bCs/>
          <w:color w:val="000000" w:themeColor="text1"/>
          <w:lang w:eastAsia="en-GB"/>
        </w:rPr>
      </w:pPr>
      <w:proofErr w:type="gramStart"/>
      <w:r w:rsidRPr="009F172B">
        <w:rPr>
          <w:rFonts w:ascii="Calibri" w:eastAsia="Times New Roman" w:hAnsi="Calibri" w:cs="Calibri"/>
          <w:b/>
          <w:bCs/>
          <w:color w:val="000000" w:themeColor="text1"/>
          <w:lang w:eastAsia="en-GB"/>
        </w:rPr>
        <w:t>Conclusions</w:t>
      </w:r>
      <w:r>
        <w:rPr>
          <w:rFonts w:ascii="Calibri" w:eastAsia="Times New Roman" w:hAnsi="Calibri" w:cs="Calibri"/>
          <w:b/>
          <w:bCs/>
          <w:color w:val="000000" w:themeColor="text1"/>
          <w:lang w:eastAsia="en-GB"/>
        </w:rPr>
        <w:t>;</w:t>
      </w:r>
      <w:proofErr w:type="gramEnd"/>
      <w:r>
        <w:rPr>
          <w:rFonts w:ascii="Calibri" w:eastAsia="Times New Roman" w:hAnsi="Calibri" w:cs="Calibri"/>
          <w:b/>
          <w:bCs/>
          <w:color w:val="000000" w:themeColor="text1"/>
          <w:lang w:eastAsia="en-GB"/>
        </w:rPr>
        <w:t xml:space="preserve">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 xml:space="preserve">, a marker of brain reserve and a robust risk factor for post-stroke dementia, may be used as a biomarker for distinguishing patients that are more likely to respond to anomia therapy from those that are less likely to do so and for individualizing treatment parameters (e.g., targeting both linguistic and </w:t>
      </w:r>
      <w:proofErr w:type="spellStart"/>
      <w:r w:rsidRPr="009F172B">
        <w:rPr>
          <w:rFonts w:ascii="Calibri" w:eastAsia="Times New Roman" w:hAnsi="Calibri" w:cs="Calibri"/>
          <w:color w:val="000000" w:themeColor="text1"/>
          <w:lang w:eastAsia="en-GB"/>
        </w:rPr>
        <w:t>nonlinguistic</w:t>
      </w:r>
      <w:proofErr w:type="spellEnd"/>
      <w:r w:rsidRPr="009F172B">
        <w:rPr>
          <w:rFonts w:ascii="Calibri" w:eastAsia="Times New Roman" w:hAnsi="Calibri" w:cs="Calibri"/>
          <w:color w:val="000000" w:themeColor="text1"/>
          <w:lang w:eastAsia="en-GB"/>
        </w:rPr>
        <w:t xml:space="preserve"> cognition in severe </w:t>
      </w:r>
      <w:proofErr w:type="spellStart"/>
      <w:r w:rsidRPr="009F172B">
        <w:rPr>
          <w:rFonts w:ascii="Calibri" w:eastAsia="Times New Roman" w:hAnsi="Calibri" w:cs="Calibri"/>
          <w:color w:val="000000" w:themeColor="text1"/>
          <w:lang w:eastAsia="en-GB"/>
        </w:rPr>
        <w:t>cSVD</w:t>
      </w:r>
      <w:proofErr w:type="spellEnd"/>
      <w:r w:rsidRPr="009F172B">
        <w:rPr>
          <w:rFonts w:ascii="Calibri" w:eastAsia="Times New Roman" w:hAnsi="Calibri" w:cs="Calibri"/>
          <w:color w:val="000000" w:themeColor="text1"/>
          <w:lang w:eastAsia="en-GB"/>
        </w:rPr>
        <w:t>).</w:t>
      </w:r>
    </w:p>
    <w:sectPr w:rsidR="009F172B" w:rsidRPr="009F172B"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E069E"/>
    <w:multiLevelType w:val="multilevel"/>
    <w:tmpl w:val="05E2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46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2B"/>
    <w:rsid w:val="007B79D4"/>
    <w:rsid w:val="009F172B"/>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4A0F54"/>
  <w14:defaultImageDpi w14:val="32767"/>
  <w15:chartTrackingRefBased/>
  <w15:docId w15:val="{2DE448E9-F051-7142-97FA-E29B24DE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7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F172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172B"/>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9F172B"/>
  </w:style>
  <w:style w:type="character" w:styleId="Emphasis">
    <w:name w:val="Emphasis"/>
    <w:basedOn w:val="DefaultParagraphFont"/>
    <w:uiPriority w:val="20"/>
    <w:qFormat/>
    <w:rsid w:val="009F172B"/>
    <w:rPr>
      <w:i/>
      <w:iCs/>
    </w:rPr>
  </w:style>
  <w:style w:type="character" w:customStyle="1" w:styleId="Heading1Char">
    <w:name w:val="Heading 1 Char"/>
    <w:basedOn w:val="DefaultParagraphFont"/>
    <w:link w:val="Heading1"/>
    <w:uiPriority w:val="9"/>
    <w:rsid w:val="009F172B"/>
    <w:rPr>
      <w:rFonts w:asciiTheme="majorHAnsi" w:eastAsiaTheme="majorEastAsia" w:hAnsiTheme="majorHAnsi" w:cstheme="majorBidi"/>
      <w:color w:val="2F5496" w:themeColor="accent1" w:themeShade="BF"/>
      <w:sz w:val="32"/>
      <w:szCs w:val="32"/>
    </w:rPr>
  </w:style>
  <w:style w:type="paragraph" w:customStyle="1" w:styleId="loaitem">
    <w:name w:val="loa__item"/>
    <w:basedOn w:val="Normal"/>
    <w:rsid w:val="009F172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9F172B"/>
    <w:rPr>
      <w:color w:val="0000FF"/>
      <w:u w:val="single"/>
    </w:rPr>
  </w:style>
  <w:style w:type="character" w:customStyle="1" w:styleId="article-headerpublish-datelabel">
    <w:name w:val="article-header__publish-date__label"/>
    <w:basedOn w:val="DefaultParagraphFont"/>
    <w:rsid w:val="009F172B"/>
  </w:style>
  <w:style w:type="character" w:customStyle="1" w:styleId="article-headerpublish-datevalue">
    <w:name w:val="article-header__publish-date__value"/>
    <w:basedOn w:val="DefaultParagraphFont"/>
    <w:rsid w:val="009F172B"/>
  </w:style>
  <w:style w:type="character" w:customStyle="1" w:styleId="article-headerdoi">
    <w:name w:val="article-header__doi"/>
    <w:basedOn w:val="DefaultParagraphFont"/>
    <w:rsid w:val="009F172B"/>
  </w:style>
  <w:style w:type="character" w:customStyle="1" w:styleId="article-headerdoilabel">
    <w:name w:val="article-header__doi__label"/>
    <w:basedOn w:val="DefaultParagraphFont"/>
    <w:rsid w:val="009F1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2195">
      <w:bodyDiv w:val="1"/>
      <w:marLeft w:val="0"/>
      <w:marRight w:val="0"/>
      <w:marTop w:val="0"/>
      <w:marBottom w:val="0"/>
      <w:divBdr>
        <w:top w:val="none" w:sz="0" w:space="0" w:color="auto"/>
        <w:left w:val="none" w:sz="0" w:space="0" w:color="auto"/>
        <w:bottom w:val="none" w:sz="0" w:space="0" w:color="auto"/>
        <w:right w:val="none" w:sz="0" w:space="0" w:color="auto"/>
      </w:divBdr>
      <w:divsChild>
        <w:div w:id="1771121881">
          <w:marLeft w:val="0"/>
          <w:marRight w:val="0"/>
          <w:marTop w:val="0"/>
          <w:marBottom w:val="0"/>
          <w:divBdr>
            <w:top w:val="none" w:sz="0" w:space="0" w:color="auto"/>
            <w:left w:val="none" w:sz="0" w:space="0" w:color="auto"/>
            <w:bottom w:val="none" w:sz="0" w:space="0" w:color="auto"/>
            <w:right w:val="none" w:sz="0" w:space="0" w:color="auto"/>
          </w:divBdr>
        </w:div>
        <w:div w:id="353187190">
          <w:marLeft w:val="0"/>
          <w:marRight w:val="0"/>
          <w:marTop w:val="0"/>
          <w:marBottom w:val="0"/>
          <w:divBdr>
            <w:top w:val="none" w:sz="0" w:space="0" w:color="auto"/>
            <w:left w:val="none" w:sz="0" w:space="0" w:color="auto"/>
            <w:bottom w:val="none" w:sz="0" w:space="0" w:color="auto"/>
            <w:right w:val="none" w:sz="0" w:space="0" w:color="auto"/>
          </w:divBdr>
        </w:div>
      </w:divsChild>
    </w:div>
    <w:div w:id="1371226880">
      <w:bodyDiv w:val="1"/>
      <w:marLeft w:val="0"/>
      <w:marRight w:val="0"/>
      <w:marTop w:val="0"/>
      <w:marBottom w:val="0"/>
      <w:divBdr>
        <w:top w:val="none" w:sz="0" w:space="0" w:color="auto"/>
        <w:left w:val="none" w:sz="0" w:space="0" w:color="auto"/>
        <w:bottom w:val="none" w:sz="0" w:space="0" w:color="auto"/>
        <w:right w:val="none" w:sz="0" w:space="0" w:color="auto"/>
      </w:divBdr>
      <w:divsChild>
        <w:div w:id="1748184363">
          <w:marLeft w:val="0"/>
          <w:marRight w:val="0"/>
          <w:marTop w:val="0"/>
          <w:marBottom w:val="0"/>
          <w:divBdr>
            <w:top w:val="none" w:sz="0" w:space="0" w:color="auto"/>
            <w:left w:val="none" w:sz="0" w:space="0" w:color="auto"/>
            <w:bottom w:val="none" w:sz="0" w:space="0" w:color="auto"/>
            <w:right w:val="none" w:sz="0" w:space="0" w:color="auto"/>
          </w:divBdr>
          <w:divsChild>
            <w:div w:id="2094737220">
              <w:marLeft w:val="0"/>
              <w:marRight w:val="0"/>
              <w:marTop w:val="0"/>
              <w:marBottom w:val="0"/>
              <w:divBdr>
                <w:top w:val="none" w:sz="0" w:space="0" w:color="auto"/>
                <w:left w:val="none" w:sz="0" w:space="0" w:color="auto"/>
                <w:bottom w:val="none" w:sz="0" w:space="0" w:color="auto"/>
                <w:right w:val="none" w:sz="0" w:space="0" w:color="auto"/>
              </w:divBdr>
              <w:divsChild>
                <w:div w:id="1331448473">
                  <w:marLeft w:val="0"/>
                  <w:marRight w:val="0"/>
                  <w:marTop w:val="0"/>
                  <w:marBottom w:val="0"/>
                  <w:divBdr>
                    <w:top w:val="none" w:sz="0" w:space="0" w:color="auto"/>
                    <w:left w:val="none" w:sz="0" w:space="0" w:color="auto"/>
                    <w:bottom w:val="none" w:sz="0" w:space="0" w:color="auto"/>
                    <w:right w:val="none" w:sz="0" w:space="0" w:color="auto"/>
                  </w:divBdr>
                  <w:divsChild>
                    <w:div w:id="331030509">
                      <w:marLeft w:val="0"/>
                      <w:marRight w:val="0"/>
                      <w:marTop w:val="0"/>
                      <w:marBottom w:val="0"/>
                      <w:divBdr>
                        <w:top w:val="none" w:sz="0" w:space="0" w:color="auto"/>
                        <w:left w:val="none" w:sz="0" w:space="0" w:color="auto"/>
                        <w:bottom w:val="none" w:sz="0" w:space="0" w:color="auto"/>
                        <w:right w:val="none" w:sz="0" w:space="0" w:color="auto"/>
                      </w:divBdr>
                      <w:divsChild>
                        <w:div w:id="15615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751479">
      <w:bodyDiv w:val="1"/>
      <w:marLeft w:val="0"/>
      <w:marRight w:val="0"/>
      <w:marTop w:val="0"/>
      <w:marBottom w:val="0"/>
      <w:divBdr>
        <w:top w:val="none" w:sz="0" w:space="0" w:color="auto"/>
        <w:left w:val="none" w:sz="0" w:space="0" w:color="auto"/>
        <w:bottom w:val="none" w:sz="0" w:space="0" w:color="auto"/>
        <w:right w:val="none" w:sz="0" w:space="0" w:color="auto"/>
      </w:divBdr>
      <w:divsChild>
        <w:div w:id="154608004">
          <w:marLeft w:val="0"/>
          <w:marRight w:val="0"/>
          <w:marTop w:val="0"/>
          <w:marBottom w:val="0"/>
          <w:divBdr>
            <w:top w:val="none" w:sz="0" w:space="0" w:color="auto"/>
            <w:left w:val="none" w:sz="0" w:space="0" w:color="auto"/>
            <w:bottom w:val="none" w:sz="0" w:space="0" w:color="auto"/>
            <w:right w:val="none" w:sz="0" w:space="0" w:color="auto"/>
          </w:divBdr>
          <w:divsChild>
            <w:div w:id="1248733207">
              <w:marLeft w:val="0"/>
              <w:marRight w:val="0"/>
              <w:marTop w:val="0"/>
              <w:marBottom w:val="0"/>
              <w:divBdr>
                <w:top w:val="none" w:sz="0" w:space="0" w:color="auto"/>
                <w:left w:val="none" w:sz="0" w:space="0" w:color="auto"/>
                <w:bottom w:val="none" w:sz="0" w:space="0" w:color="auto"/>
                <w:right w:val="none" w:sz="0" w:space="0" w:color="auto"/>
              </w:divBdr>
              <w:divsChild>
                <w:div w:id="478228422">
                  <w:marLeft w:val="0"/>
                  <w:marRight w:val="0"/>
                  <w:marTop w:val="0"/>
                  <w:marBottom w:val="0"/>
                  <w:divBdr>
                    <w:top w:val="none" w:sz="0" w:space="0" w:color="auto"/>
                    <w:left w:val="none" w:sz="0" w:space="0" w:color="auto"/>
                    <w:bottom w:val="none" w:sz="0" w:space="0" w:color="auto"/>
                    <w:right w:val="none" w:sz="0" w:space="0" w:color="auto"/>
                  </w:divBdr>
                  <w:divsChild>
                    <w:div w:id="872499172">
                      <w:marLeft w:val="0"/>
                      <w:marRight w:val="0"/>
                      <w:marTop w:val="0"/>
                      <w:marBottom w:val="0"/>
                      <w:divBdr>
                        <w:top w:val="none" w:sz="0" w:space="0" w:color="auto"/>
                        <w:left w:val="none" w:sz="0" w:space="0" w:color="auto"/>
                        <w:bottom w:val="none" w:sz="0" w:space="0" w:color="auto"/>
                        <w:right w:val="none" w:sz="0" w:space="0" w:color="auto"/>
                      </w:divBdr>
                      <w:divsChild>
                        <w:div w:id="187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452455">
      <w:bodyDiv w:val="1"/>
      <w:marLeft w:val="0"/>
      <w:marRight w:val="0"/>
      <w:marTop w:val="0"/>
      <w:marBottom w:val="0"/>
      <w:divBdr>
        <w:top w:val="none" w:sz="0" w:space="0" w:color="auto"/>
        <w:left w:val="none" w:sz="0" w:space="0" w:color="auto"/>
        <w:bottom w:val="none" w:sz="0" w:space="0" w:color="auto"/>
        <w:right w:val="none" w:sz="0" w:space="0" w:color="auto"/>
      </w:divBdr>
      <w:divsChild>
        <w:div w:id="749693280">
          <w:marLeft w:val="0"/>
          <w:marRight w:val="0"/>
          <w:marTop w:val="0"/>
          <w:marBottom w:val="0"/>
          <w:divBdr>
            <w:top w:val="none" w:sz="0" w:space="0" w:color="auto"/>
            <w:left w:val="none" w:sz="0" w:space="0" w:color="auto"/>
            <w:bottom w:val="none" w:sz="0" w:space="0" w:color="auto"/>
            <w:right w:val="none" w:sz="0" w:space="0" w:color="auto"/>
          </w:divBdr>
        </w:div>
        <w:div w:id="934559801">
          <w:marLeft w:val="0"/>
          <w:marRight w:val="0"/>
          <w:marTop w:val="0"/>
          <w:marBottom w:val="0"/>
          <w:divBdr>
            <w:top w:val="none" w:sz="0" w:space="0" w:color="auto"/>
            <w:left w:val="none" w:sz="0" w:space="0" w:color="auto"/>
            <w:bottom w:val="none" w:sz="0" w:space="0" w:color="auto"/>
            <w:right w:val="none" w:sz="0" w:space="0" w:color="auto"/>
          </w:divBdr>
        </w:div>
      </w:divsChild>
    </w:div>
    <w:div w:id="1889996586">
      <w:bodyDiv w:val="1"/>
      <w:marLeft w:val="0"/>
      <w:marRight w:val="0"/>
      <w:marTop w:val="0"/>
      <w:marBottom w:val="0"/>
      <w:divBdr>
        <w:top w:val="none" w:sz="0" w:space="0" w:color="auto"/>
        <w:left w:val="none" w:sz="0" w:space="0" w:color="auto"/>
        <w:bottom w:val="none" w:sz="0" w:space="0" w:color="auto"/>
        <w:right w:val="none" w:sz="0" w:space="0" w:color="auto"/>
      </w:divBdr>
      <w:divsChild>
        <w:div w:id="2106805001">
          <w:marLeft w:val="0"/>
          <w:marRight w:val="0"/>
          <w:marTop w:val="0"/>
          <w:marBottom w:val="0"/>
          <w:divBdr>
            <w:top w:val="none" w:sz="0" w:space="0" w:color="auto"/>
            <w:left w:val="none" w:sz="0" w:space="0" w:color="auto"/>
            <w:bottom w:val="none" w:sz="0" w:space="0" w:color="auto"/>
            <w:right w:val="none" w:sz="0" w:space="0" w:color="auto"/>
          </w:divBdr>
        </w:div>
        <w:div w:id="853960459">
          <w:marLeft w:val="0"/>
          <w:marRight w:val="0"/>
          <w:marTop w:val="0"/>
          <w:marBottom w:val="0"/>
          <w:divBdr>
            <w:top w:val="none" w:sz="0" w:space="0" w:color="auto"/>
            <w:left w:val="none" w:sz="0" w:space="0" w:color="auto"/>
            <w:bottom w:val="none" w:sz="0" w:space="0" w:color="auto"/>
            <w:right w:val="none" w:sz="0" w:space="0" w:color="auto"/>
          </w:divBdr>
        </w:div>
        <w:div w:id="810441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apmr.2023.05.0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2023-07-01T18:34:00Z</dcterms:created>
  <dcterms:modified xsi:type="dcterms:W3CDTF">2023-07-01T18:40:00Z</dcterms:modified>
</cp:coreProperties>
</file>