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06E6" w14:textId="0FA33FE5" w:rsidR="000D18F4" w:rsidRPr="000D18F4" w:rsidRDefault="000D18F4" w:rsidP="000D18F4">
      <w:pPr>
        <w:pStyle w:val="Heading3"/>
        <w:spacing w:before="360" w:after="12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 xml:space="preserve">Maria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Varkanitsa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, Claudia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Peñaloza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, Andreas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Charidimou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>, Swathi Kiran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 (2023) </w:t>
      </w:r>
      <w:r w:rsidRPr="000D18F4">
        <w:rPr>
          <w:rFonts w:ascii="Calibri" w:hAnsi="Calibri" w:cs="Calibri"/>
          <w:color w:val="2E2E2E"/>
          <w:sz w:val="22"/>
          <w:szCs w:val="22"/>
        </w:rPr>
        <w:t>Cerebral Small Vessel Disease Burden: An Independent Biomarker for Anomia Treatment Responsiveness in Chronic Stroke Patients With Aphasia,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 </w:t>
      </w:r>
      <w:r w:rsidRPr="000D18F4">
        <w:rPr>
          <w:rFonts w:ascii="Calibri" w:hAnsi="Calibri" w:cs="Calibri"/>
          <w:i/>
          <w:iCs/>
          <w:color w:val="2E2E2E"/>
          <w:sz w:val="22"/>
          <w:szCs w:val="22"/>
        </w:rPr>
        <w:t>Archives of Physical Medicine and Rehabilitation</w:t>
      </w:r>
      <w:r w:rsidRPr="000D18F4">
        <w:rPr>
          <w:rFonts w:ascii="Calibri" w:hAnsi="Calibri" w:cs="Calibri"/>
          <w:color w:val="2E2E2E"/>
          <w:sz w:val="22"/>
          <w:szCs w:val="22"/>
        </w:rPr>
        <w:t>,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 </w:t>
      </w:r>
      <w:hyperlink r:id="rId5" w:history="1">
        <w:r w:rsidRPr="000D18F4">
          <w:rPr>
            <w:rStyle w:val="Hyperlink"/>
            <w:rFonts w:ascii="Calibri" w:hAnsi="Calibri" w:cs="Calibri"/>
            <w:sz w:val="22"/>
            <w:szCs w:val="22"/>
          </w:rPr>
          <w:t>https://doi.org/10.1016/j.apmr.2023.05.008</w:t>
        </w:r>
      </w:hyperlink>
      <w:r w:rsidRPr="000D18F4">
        <w:rPr>
          <w:rFonts w:ascii="Calibri" w:hAnsi="Calibri" w:cs="Calibri"/>
          <w:color w:val="2E2E2E"/>
          <w:sz w:val="22"/>
          <w:szCs w:val="22"/>
        </w:rPr>
        <w:t>.</w:t>
      </w:r>
    </w:p>
    <w:p w14:paraId="070C740A" w14:textId="6E3F6F5C" w:rsidR="000D18F4" w:rsidRPr="000D18F4" w:rsidRDefault="000D18F4" w:rsidP="000D18F4">
      <w:pPr>
        <w:pStyle w:val="Heading3"/>
        <w:spacing w:before="360" w:after="12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Objective</w:t>
      </w:r>
    </w:p>
    <w:p w14:paraId="03CC5C82" w14:textId="77777777" w:rsidR="000D18F4" w:rsidRPr="000D18F4" w:rsidRDefault="000D18F4" w:rsidP="000D18F4">
      <w:pPr>
        <w:pStyle w:val="NormalWeb"/>
        <w:spacing w:before="0" w:beforeAutospacing="0" w:after="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To determine whether MRI-based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6" w:tooltip="Learn more about cerebral small vessel disease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cerebral small vessel disease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(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>) burden predicts treatment-induced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7" w:tooltip="Learn more about aphasia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aphasia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recovery in chronic stroke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8" w:tooltip="Learn more about patients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patients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above and beyond initial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9" w:tooltip="Learn more about aphasia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aphasia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severity and stroke-lesion volume.</w:t>
      </w:r>
    </w:p>
    <w:p w14:paraId="52059588" w14:textId="77777777" w:rsidR="000D18F4" w:rsidRPr="000D18F4" w:rsidRDefault="000D18F4" w:rsidP="000D18F4">
      <w:pPr>
        <w:pStyle w:val="Heading3"/>
        <w:spacing w:before="360" w:beforeAutospacing="0" w:after="12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Design</w:t>
      </w:r>
    </w:p>
    <w:p w14:paraId="3B4665FD" w14:textId="77777777" w:rsidR="000D18F4" w:rsidRPr="000D18F4" w:rsidRDefault="000D18F4" w:rsidP="000D18F4">
      <w:pPr>
        <w:pStyle w:val="NormalWeb"/>
        <w:spacing w:before="0" w:beforeAutospacing="0" w:after="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 xml:space="preserve">Retrospective. Four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0" w:tooltip="Learn more about neuroimaging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neuroimaging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markers were rated using validated visual scales: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1" w:tooltip="Learn more about white matter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white matter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hyperintensities, enlarged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2" w:tooltip="Learn more about perivascular spaces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perivascular spaces</w:t>
        </w:r>
      </w:hyperlink>
      <w:r w:rsidRPr="000D18F4">
        <w:rPr>
          <w:rFonts w:ascii="Calibri" w:hAnsi="Calibri" w:cs="Calibri"/>
          <w:color w:val="2E2E2E"/>
          <w:sz w:val="22"/>
          <w:szCs w:val="22"/>
        </w:rPr>
        <w:t>,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3" w:tooltip="Learn more about lacunes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lacunes</w:t>
        </w:r>
      </w:hyperlink>
      <w:r w:rsidRPr="000D18F4">
        <w:rPr>
          <w:rFonts w:ascii="Calibri" w:hAnsi="Calibri" w:cs="Calibri"/>
          <w:color w:val="2E2E2E"/>
          <w:sz w:val="22"/>
          <w:szCs w:val="22"/>
        </w:rPr>
        <w:t xml:space="preserve">, and global cortical atrophy. We also calculated a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total score. We employed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4" w:tooltip="Learn more about linear regression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linear regression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models to model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5" w:tooltip="Learn more about treatment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treatment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response as a function of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burden. We also ran correlation analyses to determine the association among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 and pre-treatment linguistic and non-linguistic cognition.</w:t>
      </w:r>
    </w:p>
    <w:p w14:paraId="1F4BFB31" w14:textId="77777777" w:rsidR="000D18F4" w:rsidRPr="000D18F4" w:rsidRDefault="000D18F4" w:rsidP="000D18F4">
      <w:pPr>
        <w:pStyle w:val="Heading3"/>
        <w:spacing w:before="360" w:beforeAutospacing="0" w:after="12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Participants</w:t>
      </w:r>
    </w:p>
    <w:p w14:paraId="40F0551A" w14:textId="77777777" w:rsidR="000D18F4" w:rsidRPr="000D18F4" w:rsidRDefault="000D18F4" w:rsidP="000D18F4">
      <w:pPr>
        <w:pStyle w:val="NormalWeb"/>
        <w:spacing w:before="0" w:beforeAutospacing="0" w:after="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The study includes data from 30 chronic stroke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6" w:tooltip="Learn more about patients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patients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with aphasia who received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7" w:tooltip="Learn more about treatment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treatment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for word finding difficulties and completed additional pre-treatment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8" w:tooltip="Learn more about neuroimaging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neuroimaging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and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behavioral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assessments (N=30).</w:t>
      </w:r>
    </w:p>
    <w:p w14:paraId="5EFD992A" w14:textId="77777777" w:rsidR="000D18F4" w:rsidRPr="000D18F4" w:rsidRDefault="000D18F4" w:rsidP="000D18F4">
      <w:pPr>
        <w:pStyle w:val="Heading3"/>
        <w:spacing w:before="360" w:beforeAutospacing="0" w:after="12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Interventions</w:t>
      </w:r>
    </w:p>
    <w:p w14:paraId="41E9CE7A" w14:textId="77777777" w:rsidR="000D18F4" w:rsidRPr="000D18F4" w:rsidRDefault="000D18F4" w:rsidP="000D18F4">
      <w:pPr>
        <w:pStyle w:val="NormalWeb"/>
        <w:spacing w:before="0" w:beforeAutospacing="0" w:after="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120-minute sessions of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19" w:tooltip="Learn more about anomia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anomia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>treatment 2 times per week for up to 12 weeks.</w:t>
      </w:r>
    </w:p>
    <w:p w14:paraId="41A2FF94" w14:textId="77777777" w:rsidR="000D18F4" w:rsidRPr="000D18F4" w:rsidRDefault="000D18F4" w:rsidP="000D18F4">
      <w:pPr>
        <w:pStyle w:val="Heading3"/>
        <w:spacing w:before="360" w:beforeAutospacing="0" w:after="12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Main Outcome Measures</w:t>
      </w:r>
    </w:p>
    <w:p w14:paraId="2533A1C4" w14:textId="77777777" w:rsidR="000D18F4" w:rsidRPr="000D18F4" w:rsidRDefault="000D18F4" w:rsidP="000D18F4">
      <w:pPr>
        <w:pStyle w:val="NormalWeb"/>
        <w:spacing w:before="0" w:beforeAutospacing="0" w:after="24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Change in accuracy on the treatment probes measured as a percentage (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ie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>, change in accuracy percentage score=post-treatment accuracy percentage minus pre-treatment accuracy percentage).</w:t>
      </w:r>
    </w:p>
    <w:p w14:paraId="48D19D3E" w14:textId="77777777" w:rsidR="000D18F4" w:rsidRPr="000D18F4" w:rsidRDefault="000D18F4" w:rsidP="000D18F4">
      <w:pPr>
        <w:pStyle w:val="Heading3"/>
        <w:spacing w:before="360" w:beforeAutospacing="0" w:after="12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Results</w:t>
      </w:r>
    </w:p>
    <w:p w14:paraId="2C8A207A" w14:textId="77777777" w:rsidR="000D18F4" w:rsidRPr="000D18F4" w:rsidRDefault="000D18F4" w:rsidP="000D18F4">
      <w:pPr>
        <w:pStyle w:val="NormalWeb"/>
        <w:spacing w:before="0" w:beforeAutospacing="0" w:after="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 xml:space="preserve">Baseline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 predicted response to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20" w:tooltip="Learn more about anomia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anomia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treatment independently from demographic and stroke-related factors. Patients with lower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 exhibited enhanced rehabilitation response compared with those with higher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 (β=-6.816e-02,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Style w:val="Emphasis"/>
          <w:rFonts w:ascii="Calibri" w:hAnsi="Calibri" w:cs="Calibri"/>
          <w:color w:val="2E2E2E"/>
          <w:sz w:val="22"/>
          <w:szCs w:val="22"/>
        </w:rPr>
        <w:t>P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=.019).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 was highly associated with nonverbal executive function at baseline (</w:t>
      </w:r>
      <w:r w:rsidRPr="000D18F4">
        <w:rPr>
          <w:rStyle w:val="Emphasis"/>
          <w:rFonts w:ascii="Calibri" w:hAnsi="Calibri" w:cs="Calibri"/>
          <w:color w:val="2E2E2E"/>
          <w:sz w:val="22"/>
          <w:szCs w:val="22"/>
        </w:rPr>
        <w:t>r</w:t>
      </w:r>
      <w:r w:rsidRPr="000D18F4">
        <w:rPr>
          <w:rFonts w:ascii="Calibri" w:hAnsi="Calibri" w:cs="Calibri"/>
          <w:color w:val="2E2E2E"/>
          <w:sz w:val="22"/>
          <w:szCs w:val="22"/>
        </w:rPr>
        <w:t>=-0.49,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Style w:val="Emphasis"/>
          <w:rFonts w:ascii="Calibri" w:hAnsi="Calibri" w:cs="Calibri"/>
          <w:color w:val="2E2E2E"/>
          <w:sz w:val="22"/>
          <w:szCs w:val="22"/>
        </w:rPr>
        <w:t>P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=.005): patients with lower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 exhibited higher performance on nonverbal</w:t>
      </w:r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hyperlink r:id="rId21" w:tooltip="Learn more about executive function tasks from ScienceDirect's AI-generated Topic Pages" w:history="1">
        <w:r w:rsidRPr="000D18F4">
          <w:rPr>
            <w:rStyle w:val="Hyperlink"/>
            <w:rFonts w:ascii="Calibri" w:hAnsi="Calibri" w:cs="Calibri"/>
            <w:color w:val="2E2E2E"/>
            <w:sz w:val="22"/>
            <w:szCs w:val="22"/>
          </w:rPr>
          <w:t>executive function tasks</w:t>
        </w:r>
      </w:hyperlink>
      <w:r w:rsidRPr="000D18F4">
        <w:rPr>
          <w:rStyle w:val="apple-converted-space"/>
          <w:rFonts w:ascii="Calibri" w:hAnsi="Calibri" w:cs="Calibri"/>
          <w:color w:val="2E2E2E"/>
          <w:sz w:val="22"/>
          <w:szCs w:val="22"/>
        </w:rPr>
        <w:t> </w:t>
      </w:r>
      <w:r w:rsidRPr="000D18F4">
        <w:rPr>
          <w:rFonts w:ascii="Calibri" w:hAnsi="Calibri" w:cs="Calibri"/>
          <w:color w:val="2E2E2E"/>
          <w:sz w:val="22"/>
          <w:szCs w:val="22"/>
        </w:rPr>
        <w:t xml:space="preserve">compared with participants with higher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burden. No association was observed among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burden and performance on language tasks at the baseline.</w:t>
      </w:r>
    </w:p>
    <w:p w14:paraId="4A0CB0B3" w14:textId="77777777" w:rsidR="000D18F4" w:rsidRPr="000D18F4" w:rsidRDefault="000D18F4" w:rsidP="000D18F4">
      <w:pPr>
        <w:pStyle w:val="Heading3"/>
        <w:spacing w:before="360" w:beforeAutospacing="0" w:after="120" w:afterAutospacing="0"/>
        <w:rPr>
          <w:rFonts w:ascii="Calibri" w:hAnsi="Calibri" w:cs="Calibri"/>
          <w:color w:val="2E2E2E"/>
          <w:sz w:val="22"/>
          <w:szCs w:val="22"/>
        </w:rPr>
      </w:pPr>
      <w:r w:rsidRPr="000D18F4">
        <w:rPr>
          <w:rFonts w:ascii="Calibri" w:hAnsi="Calibri" w:cs="Calibri"/>
          <w:color w:val="2E2E2E"/>
          <w:sz w:val="22"/>
          <w:szCs w:val="22"/>
        </w:rPr>
        <w:t>Conclusions</w:t>
      </w:r>
    </w:p>
    <w:p w14:paraId="63E3AEB3" w14:textId="77777777" w:rsidR="000D18F4" w:rsidRPr="000D18F4" w:rsidRDefault="000D18F4" w:rsidP="000D18F4">
      <w:pPr>
        <w:pStyle w:val="NormalWeb"/>
        <w:spacing w:before="0" w:beforeAutospacing="0" w:after="240" w:afterAutospacing="0"/>
        <w:rPr>
          <w:rFonts w:ascii="Calibri" w:hAnsi="Calibri" w:cs="Calibri"/>
          <w:color w:val="2E2E2E"/>
          <w:sz w:val="22"/>
          <w:szCs w:val="22"/>
        </w:rPr>
      </w:pP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>, a marker of brain reserve and a robust risk factor for post-stroke dementia, may be used as a biomarker for distinguishing patients who are more likely to respond to anomia therapy from those who are less likely to do so and for individualizing treatment parameters (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eg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, targeting both linguistic and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nonlinguistic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 xml:space="preserve"> cognition in severe </w:t>
      </w:r>
      <w:proofErr w:type="spellStart"/>
      <w:r w:rsidRPr="000D18F4">
        <w:rPr>
          <w:rFonts w:ascii="Calibri" w:hAnsi="Calibri" w:cs="Calibri"/>
          <w:color w:val="2E2E2E"/>
          <w:sz w:val="22"/>
          <w:szCs w:val="22"/>
        </w:rPr>
        <w:t>cSVD</w:t>
      </w:r>
      <w:proofErr w:type="spellEnd"/>
      <w:r w:rsidRPr="000D18F4">
        <w:rPr>
          <w:rFonts w:ascii="Calibri" w:hAnsi="Calibri" w:cs="Calibri"/>
          <w:color w:val="2E2E2E"/>
          <w:sz w:val="22"/>
          <w:szCs w:val="22"/>
        </w:rPr>
        <w:t>).</w:t>
      </w:r>
    </w:p>
    <w:p w14:paraId="768D0501" w14:textId="77777777" w:rsidR="006F1FC4" w:rsidRPr="000D18F4" w:rsidRDefault="006F1FC4" w:rsidP="00C00011">
      <w:pPr>
        <w:rPr>
          <w:rFonts w:ascii="Calibri" w:hAnsi="Calibri" w:cs="Calibri"/>
          <w:b/>
          <w:bCs/>
          <w:sz w:val="22"/>
          <w:szCs w:val="22"/>
        </w:rPr>
      </w:pPr>
    </w:p>
    <w:sectPr w:rsidR="006F1FC4" w:rsidRPr="000D18F4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38A"/>
    <w:multiLevelType w:val="multilevel"/>
    <w:tmpl w:val="031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46BD"/>
    <w:multiLevelType w:val="multilevel"/>
    <w:tmpl w:val="F8A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D7413"/>
    <w:multiLevelType w:val="multilevel"/>
    <w:tmpl w:val="C0A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87F46"/>
    <w:multiLevelType w:val="multilevel"/>
    <w:tmpl w:val="D4A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E70E2"/>
    <w:multiLevelType w:val="multilevel"/>
    <w:tmpl w:val="99B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34BDB"/>
    <w:multiLevelType w:val="multilevel"/>
    <w:tmpl w:val="B9B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A1957"/>
    <w:multiLevelType w:val="multilevel"/>
    <w:tmpl w:val="B24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061E7"/>
    <w:multiLevelType w:val="multilevel"/>
    <w:tmpl w:val="521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B0352"/>
    <w:multiLevelType w:val="multilevel"/>
    <w:tmpl w:val="2664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50EF0"/>
    <w:multiLevelType w:val="multilevel"/>
    <w:tmpl w:val="71A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926711">
    <w:abstractNumId w:val="0"/>
  </w:num>
  <w:num w:numId="2" w16cid:durableId="1956056544">
    <w:abstractNumId w:val="3"/>
  </w:num>
  <w:num w:numId="3" w16cid:durableId="2043628601">
    <w:abstractNumId w:val="1"/>
  </w:num>
  <w:num w:numId="4" w16cid:durableId="2090884014">
    <w:abstractNumId w:val="5"/>
  </w:num>
  <w:num w:numId="5" w16cid:durableId="1496843339">
    <w:abstractNumId w:val="6"/>
  </w:num>
  <w:num w:numId="6" w16cid:durableId="1607808928">
    <w:abstractNumId w:val="4"/>
  </w:num>
  <w:num w:numId="7" w16cid:durableId="1705597897">
    <w:abstractNumId w:val="8"/>
  </w:num>
  <w:num w:numId="8" w16cid:durableId="516115630">
    <w:abstractNumId w:val="2"/>
  </w:num>
  <w:num w:numId="9" w16cid:durableId="2013070279">
    <w:abstractNumId w:val="9"/>
  </w:num>
  <w:num w:numId="10" w16cid:durableId="674921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11"/>
    <w:rsid w:val="00055626"/>
    <w:rsid w:val="000D18F4"/>
    <w:rsid w:val="00136D18"/>
    <w:rsid w:val="001842AD"/>
    <w:rsid w:val="001B5EEC"/>
    <w:rsid w:val="00292432"/>
    <w:rsid w:val="003D4AD6"/>
    <w:rsid w:val="004E67DE"/>
    <w:rsid w:val="006F1FC4"/>
    <w:rsid w:val="007A1E16"/>
    <w:rsid w:val="007B79D4"/>
    <w:rsid w:val="00A2717A"/>
    <w:rsid w:val="00A51618"/>
    <w:rsid w:val="00AA326F"/>
    <w:rsid w:val="00B31881"/>
    <w:rsid w:val="00C00011"/>
    <w:rsid w:val="00C3527E"/>
    <w:rsid w:val="00C40B0D"/>
    <w:rsid w:val="00DD1831"/>
    <w:rsid w:val="00E47668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53283"/>
  <w14:defaultImageDpi w14:val="32767"/>
  <w15:chartTrackingRefBased/>
  <w15:docId w15:val="{AFC3FE6B-B5F8-4440-9794-1145D98D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001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001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00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C00011"/>
  </w:style>
  <w:style w:type="character" w:customStyle="1" w:styleId="apple-converted-space">
    <w:name w:val="apple-converted-space"/>
    <w:basedOn w:val="DefaultParagraphFont"/>
    <w:rsid w:val="00C00011"/>
  </w:style>
  <w:style w:type="character" w:customStyle="1" w:styleId="pubyear">
    <w:name w:val="pubyear"/>
    <w:basedOn w:val="DefaultParagraphFont"/>
    <w:rsid w:val="00C00011"/>
  </w:style>
  <w:style w:type="character" w:customStyle="1" w:styleId="articletitle">
    <w:name w:val="articletitle"/>
    <w:basedOn w:val="DefaultParagraphFont"/>
    <w:rsid w:val="00C00011"/>
  </w:style>
  <w:style w:type="character" w:customStyle="1" w:styleId="vol">
    <w:name w:val="vol"/>
    <w:basedOn w:val="DefaultParagraphFont"/>
    <w:rsid w:val="00C00011"/>
  </w:style>
  <w:style w:type="character" w:customStyle="1" w:styleId="pagefirst">
    <w:name w:val="pagefirst"/>
    <w:basedOn w:val="DefaultParagraphFont"/>
    <w:rsid w:val="00C00011"/>
  </w:style>
  <w:style w:type="character" w:customStyle="1" w:styleId="pagelast">
    <w:name w:val="pagelast"/>
    <w:basedOn w:val="DefaultParagraphFont"/>
    <w:rsid w:val="00C00011"/>
  </w:style>
  <w:style w:type="character" w:styleId="Hyperlink">
    <w:name w:val="Hyperlink"/>
    <w:basedOn w:val="DefaultParagraphFont"/>
    <w:uiPriority w:val="99"/>
    <w:unhideWhenUsed/>
    <w:rsid w:val="00C00011"/>
    <w:rPr>
      <w:color w:val="0000FF"/>
      <w:u w:val="single"/>
    </w:rPr>
  </w:style>
  <w:style w:type="character" w:customStyle="1" w:styleId="authors">
    <w:name w:val="authors"/>
    <w:basedOn w:val="DefaultParagraphFont"/>
    <w:rsid w:val="00A2717A"/>
  </w:style>
  <w:style w:type="character" w:customStyle="1" w:styleId="date">
    <w:name w:val="date"/>
    <w:basedOn w:val="DefaultParagraphFont"/>
    <w:rsid w:val="00A2717A"/>
  </w:style>
  <w:style w:type="character" w:customStyle="1" w:styleId="arttitle">
    <w:name w:val="art_title"/>
    <w:basedOn w:val="DefaultParagraphFont"/>
    <w:rsid w:val="00A2717A"/>
  </w:style>
  <w:style w:type="character" w:customStyle="1" w:styleId="serialtitle">
    <w:name w:val="serial_title"/>
    <w:basedOn w:val="DefaultParagraphFont"/>
    <w:rsid w:val="00A2717A"/>
  </w:style>
  <w:style w:type="character" w:customStyle="1" w:styleId="doilink">
    <w:name w:val="doi_link"/>
    <w:basedOn w:val="DefaultParagraphFont"/>
    <w:rsid w:val="00A2717A"/>
  </w:style>
  <w:style w:type="character" w:customStyle="1" w:styleId="volumeissue">
    <w:name w:val="volume_issue"/>
    <w:basedOn w:val="DefaultParagraphFont"/>
    <w:rsid w:val="00DD1831"/>
  </w:style>
  <w:style w:type="character" w:customStyle="1" w:styleId="pagerange">
    <w:name w:val="page_range"/>
    <w:basedOn w:val="DefaultParagraphFont"/>
    <w:rsid w:val="00DD1831"/>
  </w:style>
  <w:style w:type="character" w:styleId="UnresolvedMention">
    <w:name w:val="Unresolved Mention"/>
    <w:basedOn w:val="DefaultParagraphFont"/>
    <w:uiPriority w:val="99"/>
    <w:rsid w:val="001B5EE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D18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medicine-and-dentistry/patient" TargetMode="External"/><Relationship Id="rId13" Type="http://schemas.openxmlformats.org/officeDocument/2006/relationships/hyperlink" Target="https://www.sciencedirect.com/topics/medicine-and-dentistry/lacune" TargetMode="External"/><Relationship Id="rId18" Type="http://schemas.openxmlformats.org/officeDocument/2006/relationships/hyperlink" Target="https://www.sciencedirect.com/topics/medicine-and-dentistry/neuroimag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topics/medicine-and-dentistry/executive-function-test" TargetMode="External"/><Relationship Id="rId7" Type="http://schemas.openxmlformats.org/officeDocument/2006/relationships/hyperlink" Target="https://www.sciencedirect.com/topics/medicine-and-dentistry/aphasia" TargetMode="External"/><Relationship Id="rId12" Type="http://schemas.openxmlformats.org/officeDocument/2006/relationships/hyperlink" Target="https://www.sciencedirect.com/topics/medicine-and-dentistry/perivascular-space" TargetMode="External"/><Relationship Id="rId17" Type="http://schemas.openxmlformats.org/officeDocument/2006/relationships/hyperlink" Target="https://www.sciencedirect.com/topics/medicine-and-dentistry/therapeutic-proced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topics/medicine-and-dentistry/patient" TargetMode="External"/><Relationship Id="rId20" Type="http://schemas.openxmlformats.org/officeDocument/2006/relationships/hyperlink" Target="https://www.sciencedirect.com/topics/medicine-and-dentistry/anom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topics/medicine-and-dentistry/cerebrovascular-disease" TargetMode="External"/><Relationship Id="rId11" Type="http://schemas.openxmlformats.org/officeDocument/2006/relationships/hyperlink" Target="https://www.sciencedirect.com/topics/medicine-and-dentistry/white-matter" TargetMode="External"/><Relationship Id="rId5" Type="http://schemas.openxmlformats.org/officeDocument/2006/relationships/hyperlink" Target="https://doi.org/10.1016/j.apmr.2023.05.008" TargetMode="External"/><Relationship Id="rId15" Type="http://schemas.openxmlformats.org/officeDocument/2006/relationships/hyperlink" Target="https://www.sciencedirect.com/topics/medicine-and-dentistry/therapeutic-procedur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iencedirect.com/topics/medicine-and-dentistry/neuroimaging" TargetMode="External"/><Relationship Id="rId19" Type="http://schemas.openxmlformats.org/officeDocument/2006/relationships/hyperlink" Target="https://www.sciencedirect.com/topics/medicine-and-dentistry/ano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topics/medicine-and-dentistry/aphasia" TargetMode="External"/><Relationship Id="rId14" Type="http://schemas.openxmlformats.org/officeDocument/2006/relationships/hyperlink" Target="https://www.sciencedirect.com/topics/medicine-and-dentistry/linear-regression-analysi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2023-07-29T20:07:00Z</dcterms:created>
  <dcterms:modified xsi:type="dcterms:W3CDTF">2023-07-29T20:10:00Z</dcterms:modified>
</cp:coreProperties>
</file>