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0FF19" w14:textId="2C983695" w:rsidR="002A6262" w:rsidRPr="002A6262" w:rsidRDefault="002A6262" w:rsidP="002A6262">
      <w:pPr>
        <w:rPr>
          <w:rFonts w:ascii="Calibri" w:eastAsia="Times New Roman" w:hAnsi="Calibri" w:cs="Calibri"/>
          <w:b/>
          <w:bCs/>
          <w:i/>
          <w:iCs/>
          <w:color w:val="000000" w:themeColor="text1"/>
          <w:lang w:eastAsia="en-GB"/>
        </w:rPr>
      </w:pPr>
      <w:r w:rsidRPr="002A6262">
        <w:rPr>
          <w:rFonts w:ascii="Calibri" w:eastAsia="Times New Roman" w:hAnsi="Calibri" w:cs="Calibri"/>
          <w:b/>
          <w:bCs/>
          <w:color w:val="000000" w:themeColor="text1"/>
          <w:lang w:eastAsia="en-GB"/>
        </w:rPr>
        <w:t xml:space="preserve">Joseph R. Duffy , Peter R. Martin , Heather M. Clark , Rene L. </w:t>
      </w:r>
      <w:proofErr w:type="spellStart"/>
      <w:r w:rsidRPr="002A6262">
        <w:rPr>
          <w:rFonts w:ascii="Calibri" w:eastAsia="Times New Roman" w:hAnsi="Calibri" w:cs="Calibri"/>
          <w:b/>
          <w:bCs/>
          <w:color w:val="000000" w:themeColor="text1"/>
          <w:lang w:eastAsia="en-GB"/>
        </w:rPr>
        <w:t>Utianski</w:t>
      </w:r>
      <w:proofErr w:type="spellEnd"/>
      <w:r w:rsidRPr="002A6262">
        <w:rPr>
          <w:rFonts w:ascii="Calibri" w:eastAsia="Times New Roman" w:hAnsi="Calibri" w:cs="Calibri"/>
          <w:b/>
          <w:bCs/>
          <w:color w:val="000000" w:themeColor="text1"/>
          <w:lang w:eastAsia="en-GB"/>
        </w:rPr>
        <w:t> , Edythe A. Strand , Jennifer L. Whitwell and Keith A. Josephs</w:t>
      </w:r>
      <w:r w:rsidRPr="002A6262">
        <w:rPr>
          <w:rFonts w:ascii="Calibri" w:eastAsia="Times New Roman" w:hAnsi="Calibri" w:cs="Calibri"/>
          <w:b/>
          <w:bCs/>
          <w:color w:val="000000" w:themeColor="text1"/>
          <w:lang w:eastAsia="en-GB"/>
        </w:rPr>
        <w:t xml:space="preserve"> (2023) </w:t>
      </w:r>
      <w:hyperlink r:id="rId4" w:history="1">
        <w:r w:rsidRPr="002A6262">
          <w:rPr>
            <w:rFonts w:ascii="Calibri" w:eastAsia="Times New Roman" w:hAnsi="Calibri" w:cs="Calibri"/>
            <w:b/>
            <w:bCs/>
            <w:color w:val="000000" w:themeColor="text1"/>
            <w:lang w:eastAsia="en-GB"/>
          </w:rPr>
          <w:t>The Apraxia of Speech Rating Scale: Reliability, Validity, and Utility</w:t>
        </w:r>
      </w:hyperlink>
      <w:r w:rsidRPr="002A6262">
        <w:rPr>
          <w:rFonts w:ascii="Calibri" w:eastAsia="Times New Roman" w:hAnsi="Calibri" w:cs="Calibri"/>
          <w:b/>
          <w:bCs/>
          <w:color w:val="000000" w:themeColor="text1"/>
          <w:lang w:eastAsia="en-GB"/>
        </w:rPr>
        <w:t xml:space="preserve"> </w:t>
      </w:r>
      <w:hyperlink r:id="rId5" w:history="1">
        <w:r w:rsidRPr="002A6262">
          <w:rPr>
            <w:rStyle w:val="Hyperlink"/>
            <w:rFonts w:ascii="Calibri" w:hAnsi="Calibri" w:cs="Calibri"/>
            <w:b/>
            <w:bCs/>
            <w:i/>
            <w:iCs/>
            <w:color w:val="000000" w:themeColor="text1"/>
            <w:spacing w:val="10"/>
            <w:u w:val="none"/>
          </w:rPr>
          <w:t>American Journal of Speech-Language Pathology</w:t>
        </w:r>
      </w:hyperlink>
      <w:hyperlink r:id="rId6" w:history="1">
        <w:r>
          <w:rPr>
            <w:rStyle w:val="Hyperlink"/>
            <w:rFonts w:ascii="Arial" w:hAnsi="Arial" w:cs="Arial"/>
            <w:color w:val="000000"/>
            <w:spacing w:val="12"/>
          </w:rPr>
          <w:t>https://doi.org/10.1044/2022_AJSLP-22-00148</w:t>
        </w:r>
      </w:hyperlink>
    </w:p>
    <w:p w14:paraId="4C626BC8" w14:textId="65C74A61" w:rsidR="002A6262" w:rsidRPr="002A6262" w:rsidRDefault="002A6262" w:rsidP="002A6262">
      <w:pPr>
        <w:rPr>
          <w:rFonts w:ascii="Arial" w:eastAsia="Times New Roman" w:hAnsi="Arial" w:cs="Arial"/>
          <w:color w:val="757575"/>
          <w:lang w:eastAsia="en-GB"/>
        </w:rPr>
      </w:pPr>
    </w:p>
    <w:p w14:paraId="4B1F5251" w14:textId="77777777" w:rsidR="002A6262" w:rsidRDefault="002A6262" w:rsidP="002A6262">
      <w:pPr>
        <w:spacing w:after="100" w:afterAutospacing="1"/>
        <w:outlineLvl w:val="2"/>
        <w:rPr>
          <w:rFonts w:ascii="Arial" w:eastAsia="Times New Roman" w:hAnsi="Arial" w:cs="Arial"/>
          <w:b/>
          <w:bCs/>
          <w:color w:val="000000"/>
          <w:sz w:val="27"/>
          <w:szCs w:val="27"/>
          <w:lang w:eastAsia="en-GB"/>
        </w:rPr>
      </w:pPr>
    </w:p>
    <w:p w14:paraId="5B59A5F4" w14:textId="76CDAAD3" w:rsidR="002A6262" w:rsidRDefault="002A6262" w:rsidP="002A6262">
      <w:pPr>
        <w:spacing w:after="100" w:afterAutospacing="1"/>
        <w:outlineLvl w:val="2"/>
        <w:rPr>
          <w:rFonts w:ascii="Arial" w:eastAsia="Times New Roman" w:hAnsi="Arial" w:cs="Arial"/>
          <w:b/>
          <w:bCs/>
          <w:color w:val="000000"/>
          <w:sz w:val="27"/>
          <w:szCs w:val="27"/>
          <w:lang w:eastAsia="en-GB"/>
        </w:rPr>
      </w:pPr>
      <w:r w:rsidRPr="002A6262">
        <w:rPr>
          <w:rFonts w:ascii="Arial" w:eastAsia="Times New Roman" w:hAnsi="Arial" w:cs="Arial"/>
          <w:b/>
          <w:bCs/>
          <w:color w:val="000000"/>
          <w:sz w:val="27"/>
          <w:szCs w:val="27"/>
          <w:lang w:eastAsia="en-GB"/>
        </w:rPr>
        <w:t>Purpose:</w:t>
      </w:r>
      <w:r>
        <w:rPr>
          <w:rFonts w:ascii="Arial" w:eastAsia="Times New Roman" w:hAnsi="Arial" w:cs="Arial"/>
          <w:b/>
          <w:bCs/>
          <w:color w:val="000000"/>
          <w:sz w:val="27"/>
          <w:szCs w:val="27"/>
          <w:lang w:eastAsia="en-GB"/>
        </w:rPr>
        <w:t xml:space="preserve"> </w:t>
      </w:r>
      <w:r w:rsidRPr="002A6262">
        <w:rPr>
          <w:rFonts w:ascii="Arial" w:eastAsia="Times New Roman" w:hAnsi="Arial" w:cs="Arial"/>
          <w:color w:val="757575"/>
          <w:lang w:eastAsia="en-GB"/>
        </w:rPr>
        <w:t>The purpose of this study was to examine the interrater reliability and validity of the Apraxia of Speech Rating Scale (ASRS-3.5) as an index of the presence and severity of apraxia of speech (AOS) and the prominence of several of its important features.</w:t>
      </w:r>
    </w:p>
    <w:p w14:paraId="30DF05BE" w14:textId="44B9604C" w:rsidR="002A6262" w:rsidRPr="002A6262" w:rsidRDefault="002A6262" w:rsidP="002A6262">
      <w:pPr>
        <w:spacing w:after="100" w:afterAutospacing="1"/>
        <w:outlineLvl w:val="2"/>
        <w:rPr>
          <w:rFonts w:ascii="Arial" w:eastAsia="Times New Roman" w:hAnsi="Arial" w:cs="Arial"/>
          <w:b/>
          <w:bCs/>
          <w:color w:val="000000"/>
          <w:sz w:val="27"/>
          <w:szCs w:val="27"/>
          <w:lang w:eastAsia="en-GB"/>
        </w:rPr>
      </w:pPr>
      <w:r w:rsidRPr="002A6262">
        <w:rPr>
          <w:rFonts w:ascii="Arial" w:eastAsia="Times New Roman" w:hAnsi="Arial" w:cs="Arial"/>
          <w:b/>
          <w:bCs/>
          <w:color w:val="000000"/>
          <w:sz w:val="27"/>
          <w:szCs w:val="27"/>
          <w:lang w:eastAsia="en-GB"/>
        </w:rPr>
        <w:t>Method:</w:t>
      </w:r>
      <w:r>
        <w:rPr>
          <w:rFonts w:ascii="Arial" w:eastAsia="Times New Roman" w:hAnsi="Arial" w:cs="Arial"/>
          <w:b/>
          <w:bCs/>
          <w:color w:val="000000"/>
          <w:sz w:val="27"/>
          <w:szCs w:val="27"/>
          <w:lang w:eastAsia="en-GB"/>
        </w:rPr>
        <w:t xml:space="preserve"> </w:t>
      </w:r>
      <w:r w:rsidRPr="002A6262">
        <w:rPr>
          <w:rFonts w:ascii="Arial" w:eastAsia="Times New Roman" w:hAnsi="Arial" w:cs="Arial"/>
          <w:color w:val="757575"/>
          <w:lang w:eastAsia="en-GB"/>
        </w:rPr>
        <w:t xml:space="preserve">Interrater reliability was assessed for 27 participants. Validity was examined in a cohort of 308 participants (120 with and 188 without progressive AOS) through item analysis; item-Total score correlations; correlations among ASRS Total score and component </w:t>
      </w:r>
      <w:proofErr w:type="spellStart"/>
      <w:r w:rsidRPr="002A6262">
        <w:rPr>
          <w:rFonts w:ascii="Arial" w:eastAsia="Times New Roman" w:hAnsi="Arial" w:cs="Arial"/>
          <w:color w:val="757575"/>
          <w:lang w:eastAsia="en-GB"/>
        </w:rPr>
        <w:t>subscores</w:t>
      </w:r>
      <w:proofErr w:type="spellEnd"/>
      <w:r w:rsidRPr="002A6262">
        <w:rPr>
          <w:rFonts w:ascii="Arial" w:eastAsia="Times New Roman" w:hAnsi="Arial" w:cs="Arial"/>
          <w:color w:val="757575"/>
          <w:lang w:eastAsia="en-GB"/>
        </w:rPr>
        <w:t xml:space="preserve"> and independent clinical ratings of AOS, dysarthria and aphasia severity, intelligibility, and articulatory errors, as well as </w:t>
      </w:r>
      <w:proofErr w:type="spellStart"/>
      <w:r w:rsidRPr="002A6262">
        <w:rPr>
          <w:rFonts w:ascii="Arial" w:eastAsia="Times New Roman" w:hAnsi="Arial" w:cs="Arial"/>
          <w:color w:val="757575"/>
          <w:lang w:eastAsia="en-GB"/>
        </w:rPr>
        <w:t>years</w:t>
      </w:r>
      <w:proofErr w:type="spellEnd"/>
      <w:r w:rsidRPr="002A6262">
        <w:rPr>
          <w:rFonts w:ascii="Arial" w:eastAsia="Times New Roman" w:hAnsi="Arial" w:cs="Arial"/>
          <w:color w:val="757575"/>
          <w:lang w:eastAsia="en-GB"/>
        </w:rPr>
        <w:t xml:space="preserve"> post</w:t>
      </w:r>
      <w:r>
        <w:rPr>
          <w:rFonts w:ascii="Arial" w:eastAsia="Times New Roman" w:hAnsi="Arial" w:cs="Arial"/>
          <w:color w:val="757575"/>
          <w:lang w:eastAsia="en-GB"/>
        </w:rPr>
        <w:t>-</w:t>
      </w:r>
      <w:r w:rsidRPr="002A6262">
        <w:rPr>
          <w:rFonts w:ascii="Arial" w:eastAsia="Times New Roman" w:hAnsi="Arial" w:cs="Arial"/>
          <w:color w:val="757575"/>
          <w:lang w:eastAsia="en-GB"/>
        </w:rPr>
        <w:t>onset and age; and regression models assessing item and Total score prediction of AOS presence.</w:t>
      </w:r>
    </w:p>
    <w:p w14:paraId="384C5C3B" w14:textId="029B7704" w:rsidR="002A6262" w:rsidRPr="002A6262" w:rsidRDefault="002A6262" w:rsidP="002A6262">
      <w:pPr>
        <w:spacing w:after="100" w:afterAutospacing="1"/>
        <w:outlineLvl w:val="2"/>
        <w:rPr>
          <w:rFonts w:ascii="Arial" w:eastAsia="Times New Roman" w:hAnsi="Arial" w:cs="Arial"/>
          <w:b/>
          <w:bCs/>
          <w:color w:val="000000"/>
          <w:sz w:val="27"/>
          <w:szCs w:val="27"/>
          <w:lang w:eastAsia="en-GB"/>
        </w:rPr>
      </w:pPr>
      <w:r w:rsidRPr="002A6262">
        <w:rPr>
          <w:rFonts w:ascii="Arial" w:eastAsia="Times New Roman" w:hAnsi="Arial" w:cs="Arial"/>
          <w:b/>
          <w:bCs/>
          <w:color w:val="000000"/>
          <w:sz w:val="27"/>
          <w:szCs w:val="27"/>
          <w:lang w:eastAsia="en-GB"/>
        </w:rPr>
        <w:t>Results:</w:t>
      </w:r>
      <w:r w:rsidRPr="002A6262">
        <w:rPr>
          <w:rFonts w:ascii="Arial" w:eastAsia="Times New Roman" w:hAnsi="Arial" w:cs="Arial"/>
          <w:color w:val="757575"/>
          <w:shd w:val="clear" w:color="auto" w:fill="FFFFFF"/>
          <w:lang w:eastAsia="en-GB"/>
        </w:rPr>
        <w:t> </w:t>
      </w:r>
      <w:r w:rsidRPr="002A6262">
        <w:rPr>
          <w:rFonts w:ascii="Arial" w:eastAsia="Times New Roman" w:hAnsi="Arial" w:cs="Arial"/>
          <w:color w:val="757575"/>
          <w:lang w:eastAsia="en-GB"/>
        </w:rPr>
        <w:t xml:space="preserve">Interrater reliability was good or excellent for most items and excellent for the Total score. Item and Total score analyses revealed good separation of participants with versus without AOS. Inter-item and item-Total score correlations were generally moderately high as were correlations between the ASRS Total score and independent ratings of AOS severity, intelligibility, and articulatory errors. The Total score was not meaningfully correlated with ratings of aphasia and dysarthria severity, </w:t>
      </w:r>
      <w:proofErr w:type="spellStart"/>
      <w:r w:rsidRPr="002A6262">
        <w:rPr>
          <w:rFonts w:ascii="Arial" w:eastAsia="Times New Roman" w:hAnsi="Arial" w:cs="Arial"/>
          <w:color w:val="757575"/>
          <w:lang w:eastAsia="en-GB"/>
        </w:rPr>
        <w:t>years</w:t>
      </w:r>
      <w:proofErr w:type="spellEnd"/>
      <w:r w:rsidRPr="002A6262">
        <w:rPr>
          <w:rFonts w:ascii="Arial" w:eastAsia="Times New Roman" w:hAnsi="Arial" w:cs="Arial"/>
          <w:color w:val="757575"/>
          <w:lang w:eastAsia="en-GB"/>
        </w:rPr>
        <w:t xml:space="preserve"> post</w:t>
      </w:r>
      <w:r>
        <w:rPr>
          <w:rFonts w:ascii="Arial" w:eastAsia="Times New Roman" w:hAnsi="Arial" w:cs="Arial"/>
          <w:color w:val="757575"/>
          <w:lang w:eastAsia="en-GB"/>
        </w:rPr>
        <w:t>-</w:t>
      </w:r>
      <w:r w:rsidRPr="002A6262">
        <w:rPr>
          <w:rFonts w:ascii="Arial" w:eastAsia="Times New Roman" w:hAnsi="Arial" w:cs="Arial"/>
          <w:color w:val="757575"/>
          <w:lang w:eastAsia="en-GB"/>
        </w:rPr>
        <w:t>onset, or age. Total scores below 7 and above 10 revealed excellent diagnostic sensitivity and specificity for AOS. The presence of eight or more abnormal features was also highly predictive of AOS presence.</w:t>
      </w:r>
    </w:p>
    <w:p w14:paraId="2F587DE0" w14:textId="08962BD9" w:rsidR="002A6262" w:rsidRPr="002A6262" w:rsidRDefault="002A6262" w:rsidP="002A6262">
      <w:pPr>
        <w:spacing w:after="100" w:afterAutospacing="1"/>
        <w:outlineLvl w:val="2"/>
        <w:rPr>
          <w:rFonts w:ascii="Arial" w:eastAsia="Times New Roman" w:hAnsi="Arial" w:cs="Arial"/>
          <w:b/>
          <w:bCs/>
          <w:color w:val="000000"/>
          <w:sz w:val="27"/>
          <w:szCs w:val="27"/>
          <w:lang w:eastAsia="en-GB"/>
        </w:rPr>
      </w:pPr>
      <w:r w:rsidRPr="002A6262">
        <w:rPr>
          <w:rFonts w:ascii="Arial" w:eastAsia="Times New Roman" w:hAnsi="Arial" w:cs="Arial"/>
          <w:b/>
          <w:bCs/>
          <w:color w:val="000000"/>
          <w:sz w:val="27"/>
          <w:szCs w:val="27"/>
          <w:lang w:eastAsia="en-GB"/>
        </w:rPr>
        <w:t>Conclusions:</w:t>
      </w:r>
      <w:r>
        <w:rPr>
          <w:rFonts w:ascii="Arial" w:eastAsia="Times New Roman" w:hAnsi="Arial" w:cs="Arial"/>
          <w:b/>
          <w:bCs/>
          <w:color w:val="000000"/>
          <w:sz w:val="27"/>
          <w:szCs w:val="27"/>
          <w:lang w:eastAsia="en-GB"/>
        </w:rPr>
        <w:t xml:space="preserve"> </w:t>
      </w:r>
      <w:r w:rsidRPr="002A6262">
        <w:rPr>
          <w:rFonts w:ascii="Arial" w:eastAsia="Times New Roman" w:hAnsi="Arial" w:cs="Arial"/>
          <w:color w:val="757575"/>
          <w:lang w:eastAsia="en-GB"/>
        </w:rPr>
        <w:t>The ASRS-3.5 is a reliable and valid scale for identifying the presence and severity of AOS and its predominant features. It has excellent sensitivity to AOS presence and excellent specificity relative to aphasia and dysarthria in patients with neurodegenerative disease.</w:t>
      </w:r>
    </w:p>
    <w:p w14:paraId="168F722B" w14:textId="77777777" w:rsidR="00700A93" w:rsidRDefault="00000000"/>
    <w:sectPr w:rsidR="00700A93"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62"/>
    <w:rsid w:val="002A6262"/>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DF9AA0"/>
  <w14:defaultImageDpi w14:val="32767"/>
  <w15:chartTrackingRefBased/>
  <w15:docId w15:val="{99770DD5-2A99-FA47-B049-449FB503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2A626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6262"/>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6262"/>
  </w:style>
  <w:style w:type="paragraph" w:styleId="NormalWeb">
    <w:name w:val="Normal (Web)"/>
    <w:basedOn w:val="Normal"/>
    <w:uiPriority w:val="99"/>
    <w:semiHidden/>
    <w:unhideWhenUsed/>
    <w:rsid w:val="002A6262"/>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2A6262"/>
    <w:rPr>
      <w:color w:val="0000FF"/>
      <w:u w:val="single"/>
    </w:rPr>
  </w:style>
  <w:style w:type="character" w:customStyle="1" w:styleId="contrib">
    <w:name w:val="contrib"/>
    <w:basedOn w:val="DefaultParagraphFont"/>
    <w:rsid w:val="002A6262"/>
  </w:style>
  <w:style w:type="character" w:customStyle="1" w:styleId="authorname">
    <w:name w:val="authorname"/>
    <w:basedOn w:val="DefaultParagraphFont"/>
    <w:rsid w:val="002A6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3195">
      <w:bodyDiv w:val="1"/>
      <w:marLeft w:val="0"/>
      <w:marRight w:val="0"/>
      <w:marTop w:val="0"/>
      <w:marBottom w:val="0"/>
      <w:divBdr>
        <w:top w:val="none" w:sz="0" w:space="0" w:color="auto"/>
        <w:left w:val="none" w:sz="0" w:space="0" w:color="auto"/>
        <w:bottom w:val="none" w:sz="0" w:space="0" w:color="auto"/>
        <w:right w:val="none" w:sz="0" w:space="0" w:color="auto"/>
      </w:divBdr>
      <w:divsChild>
        <w:div w:id="142091861">
          <w:marLeft w:val="0"/>
          <w:marRight w:val="0"/>
          <w:marTop w:val="0"/>
          <w:marBottom w:val="0"/>
          <w:divBdr>
            <w:top w:val="none" w:sz="0" w:space="0" w:color="auto"/>
            <w:left w:val="none" w:sz="0" w:space="0" w:color="auto"/>
            <w:bottom w:val="none" w:sz="0" w:space="0" w:color="auto"/>
            <w:right w:val="none" w:sz="0" w:space="0" w:color="auto"/>
          </w:divBdr>
        </w:div>
        <w:div w:id="557978238">
          <w:marLeft w:val="0"/>
          <w:marRight w:val="0"/>
          <w:marTop w:val="0"/>
          <w:marBottom w:val="0"/>
          <w:divBdr>
            <w:top w:val="none" w:sz="0" w:space="0" w:color="auto"/>
            <w:left w:val="none" w:sz="0" w:space="0" w:color="auto"/>
            <w:bottom w:val="none" w:sz="0" w:space="0" w:color="auto"/>
            <w:right w:val="none" w:sz="0" w:space="0" w:color="auto"/>
          </w:divBdr>
        </w:div>
      </w:divsChild>
    </w:div>
    <w:div w:id="17587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44/2022_AJSLP-22-00148" TargetMode="External"/><Relationship Id="rId5" Type="http://schemas.openxmlformats.org/officeDocument/2006/relationships/hyperlink" Target="https://pubs.asha.org/journal/ajslp" TargetMode="External"/><Relationship Id="rId4" Type="http://schemas.openxmlformats.org/officeDocument/2006/relationships/hyperlink" Target="https://pubs.asha.org/doi/abs/10.1044/2022_AJSLP-22-00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2023-01-31T17:51:00Z</dcterms:created>
  <dcterms:modified xsi:type="dcterms:W3CDTF">2023-01-31T17:54:00Z</dcterms:modified>
</cp:coreProperties>
</file>