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9560" w14:textId="2724A799" w:rsidR="00893F9B" w:rsidRPr="00893F9B" w:rsidRDefault="00893F9B" w:rsidP="00893F9B">
      <w:pPr>
        <w:pStyle w:val="Heading1"/>
        <w:rPr>
          <w:rFonts w:ascii="Calibri" w:hAnsi="Calibri" w:cs="Calibri"/>
          <w:b/>
          <w:bCs/>
          <w:color w:val="000000" w:themeColor="text1"/>
          <w:sz w:val="24"/>
          <w:szCs w:val="24"/>
        </w:rPr>
      </w:pPr>
      <w:proofErr w:type="spellStart"/>
      <w:r w:rsidRPr="00893F9B">
        <w:rPr>
          <w:rStyle w:val="authorname"/>
          <w:rFonts w:ascii="Calibri" w:hAnsi="Calibri" w:cs="Calibri"/>
          <w:b/>
          <w:bCs/>
          <w:color w:val="000000" w:themeColor="text1"/>
          <w:sz w:val="24"/>
          <w:szCs w:val="24"/>
        </w:rPr>
        <w:t>Sigfus</w:t>
      </w:r>
      <w:proofErr w:type="spellEnd"/>
      <w:r w:rsidRPr="00893F9B">
        <w:rPr>
          <w:rStyle w:val="authorname"/>
          <w:rFonts w:ascii="Calibri" w:hAnsi="Calibri" w:cs="Calibri"/>
          <w:b/>
          <w:bCs/>
          <w:color w:val="000000" w:themeColor="text1"/>
          <w:sz w:val="24"/>
          <w:szCs w:val="24"/>
        </w:rPr>
        <w:t xml:space="preserve"> </w:t>
      </w:r>
      <w:proofErr w:type="spellStart"/>
      <w:r w:rsidRPr="00893F9B">
        <w:rPr>
          <w:rStyle w:val="authorname"/>
          <w:rFonts w:ascii="Calibri" w:hAnsi="Calibri" w:cs="Calibri"/>
          <w:b/>
          <w:bCs/>
          <w:color w:val="000000" w:themeColor="text1"/>
          <w:sz w:val="24"/>
          <w:szCs w:val="24"/>
        </w:rPr>
        <w:t>Kristinsson</w:t>
      </w:r>
      <w:proofErr w:type="spellEnd"/>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 xml:space="preserve">Alexandra </w:t>
      </w:r>
      <w:proofErr w:type="spellStart"/>
      <w:r w:rsidRPr="00893F9B">
        <w:rPr>
          <w:rStyle w:val="authorname"/>
          <w:rFonts w:ascii="Calibri" w:hAnsi="Calibri" w:cs="Calibri"/>
          <w:b/>
          <w:bCs/>
          <w:color w:val="000000" w:themeColor="text1"/>
          <w:sz w:val="24"/>
          <w:szCs w:val="24"/>
        </w:rPr>
        <w:t>Basilakos</w:t>
      </w:r>
      <w:proofErr w:type="spellEnd"/>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 xml:space="preserve">Dirk B. den </w:t>
      </w:r>
      <w:proofErr w:type="spellStart"/>
      <w:r w:rsidRPr="00893F9B">
        <w:rPr>
          <w:rStyle w:val="authorname"/>
          <w:rFonts w:ascii="Calibri" w:hAnsi="Calibri" w:cs="Calibri"/>
          <w:b/>
          <w:bCs/>
          <w:color w:val="000000" w:themeColor="text1"/>
          <w:sz w:val="24"/>
          <w:szCs w:val="24"/>
        </w:rPr>
        <w:t>Ouden</w:t>
      </w:r>
      <w:proofErr w:type="spellEnd"/>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 xml:space="preserve">Christy </w:t>
      </w:r>
      <w:proofErr w:type="spellStart"/>
      <w:r w:rsidRPr="00893F9B">
        <w:rPr>
          <w:rStyle w:val="authorname"/>
          <w:rFonts w:ascii="Calibri" w:hAnsi="Calibri" w:cs="Calibri"/>
          <w:b/>
          <w:bCs/>
          <w:color w:val="000000" w:themeColor="text1"/>
          <w:sz w:val="24"/>
          <w:szCs w:val="24"/>
        </w:rPr>
        <w:t>Cassarly</w:t>
      </w:r>
      <w:proofErr w:type="spellEnd"/>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Leigh Ann Spell</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 xml:space="preserve">Leonardo </w:t>
      </w:r>
      <w:proofErr w:type="spellStart"/>
      <w:r w:rsidRPr="00893F9B">
        <w:rPr>
          <w:rStyle w:val="authorname"/>
          <w:rFonts w:ascii="Calibri" w:hAnsi="Calibri" w:cs="Calibri"/>
          <w:b/>
          <w:bCs/>
          <w:color w:val="000000" w:themeColor="text1"/>
          <w:sz w:val="24"/>
          <w:szCs w:val="24"/>
        </w:rPr>
        <w:t>Bonilha</w:t>
      </w:r>
      <w:proofErr w:type="spellEnd"/>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 xml:space="preserve">Chris </w:t>
      </w:r>
      <w:proofErr w:type="spellStart"/>
      <w:r w:rsidRPr="00893F9B">
        <w:rPr>
          <w:rStyle w:val="authorname"/>
          <w:rFonts w:ascii="Calibri" w:hAnsi="Calibri" w:cs="Calibri"/>
          <w:b/>
          <w:bCs/>
          <w:color w:val="000000" w:themeColor="text1"/>
          <w:sz w:val="24"/>
          <w:szCs w:val="24"/>
        </w:rPr>
        <w:t>Rorden</w:t>
      </w:r>
      <w:proofErr w:type="spellEnd"/>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proofErr w:type="spellStart"/>
      <w:r w:rsidRPr="00893F9B">
        <w:rPr>
          <w:rStyle w:val="authorname"/>
          <w:rFonts w:ascii="Calibri" w:hAnsi="Calibri" w:cs="Calibri"/>
          <w:b/>
          <w:bCs/>
          <w:color w:val="000000" w:themeColor="text1"/>
          <w:sz w:val="24"/>
          <w:szCs w:val="24"/>
        </w:rPr>
        <w:t>Argye</w:t>
      </w:r>
      <w:proofErr w:type="spellEnd"/>
      <w:r w:rsidRPr="00893F9B">
        <w:rPr>
          <w:rStyle w:val="authorname"/>
          <w:rFonts w:ascii="Calibri" w:hAnsi="Calibri" w:cs="Calibri"/>
          <w:b/>
          <w:bCs/>
          <w:color w:val="000000" w:themeColor="text1"/>
          <w:sz w:val="24"/>
          <w:szCs w:val="24"/>
        </w:rPr>
        <w:t xml:space="preserve"> E. Hillis</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Gregory Hickok</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Lisa Johnson</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Natalie Busby</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Grant M. Walker</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Alexander McLain</w:t>
      </w:r>
      <w:r w:rsidRPr="00893F9B">
        <w:rPr>
          <w:rStyle w:val="apple-converted-space"/>
          <w:rFonts w:ascii="Calibri" w:hAnsi="Calibri" w:cs="Calibri"/>
          <w:b/>
          <w:bCs/>
          <w:color w:val="000000" w:themeColor="text1"/>
          <w:sz w:val="24"/>
          <w:szCs w:val="24"/>
        </w:rPr>
        <w:t> </w:t>
      </w:r>
      <w:r w:rsidRPr="00893F9B">
        <w:rPr>
          <w:rStyle w:val="contrib"/>
          <w:rFonts w:ascii="Calibri" w:hAnsi="Calibri" w:cs="Calibri"/>
          <w:b/>
          <w:bCs/>
          <w:color w:val="000000" w:themeColor="text1"/>
          <w:sz w:val="24"/>
          <w:szCs w:val="24"/>
        </w:rPr>
        <w:t>and</w:t>
      </w:r>
      <w:r w:rsidRPr="00893F9B">
        <w:rPr>
          <w:rStyle w:val="apple-converted-space"/>
          <w:rFonts w:ascii="Calibri" w:hAnsi="Calibri" w:cs="Calibri"/>
          <w:b/>
          <w:bCs/>
          <w:color w:val="000000" w:themeColor="text1"/>
          <w:sz w:val="24"/>
          <w:szCs w:val="24"/>
        </w:rPr>
        <w:t> </w:t>
      </w:r>
      <w:r w:rsidRPr="00893F9B">
        <w:rPr>
          <w:rStyle w:val="authorname"/>
          <w:rFonts w:ascii="Calibri" w:hAnsi="Calibri" w:cs="Calibri"/>
          <w:b/>
          <w:bCs/>
          <w:color w:val="000000" w:themeColor="text1"/>
          <w:sz w:val="24"/>
          <w:szCs w:val="24"/>
        </w:rPr>
        <w:t xml:space="preserve">Julius </w:t>
      </w:r>
      <w:proofErr w:type="spellStart"/>
      <w:r w:rsidRPr="00893F9B">
        <w:rPr>
          <w:rStyle w:val="authorname"/>
          <w:rFonts w:ascii="Calibri" w:hAnsi="Calibri" w:cs="Calibri"/>
          <w:b/>
          <w:bCs/>
          <w:color w:val="000000" w:themeColor="text1"/>
          <w:sz w:val="24"/>
          <w:szCs w:val="24"/>
        </w:rPr>
        <w:t>Fridriksson</w:t>
      </w:r>
      <w:proofErr w:type="spellEnd"/>
      <w:r w:rsidRPr="00893F9B">
        <w:rPr>
          <w:rStyle w:val="authorname"/>
          <w:rFonts w:ascii="Calibri" w:hAnsi="Calibri" w:cs="Calibri"/>
          <w:b/>
          <w:bCs/>
          <w:color w:val="000000" w:themeColor="text1"/>
          <w:sz w:val="24"/>
          <w:szCs w:val="24"/>
        </w:rPr>
        <w:t xml:space="preserve"> (2023) </w:t>
      </w:r>
      <w:hyperlink r:id="rId4" w:tooltip="Predicting Outcomes of Language Rehabilitation:Prognostic Factors for Immediate and Long-Term Outcomes After Aphasia Therapy" w:history="1">
        <w:r w:rsidRPr="00893F9B">
          <w:rPr>
            <w:rStyle w:val="Hyperlink"/>
            <w:rFonts w:ascii="Calibri" w:hAnsi="Calibri" w:cs="Calibri"/>
            <w:b/>
            <w:bCs/>
            <w:color w:val="000000" w:themeColor="text1"/>
            <w:sz w:val="24"/>
            <w:szCs w:val="24"/>
            <w:u w:val="none"/>
          </w:rPr>
          <w:t>Predicting Outcomes of Language Rehabilitation:</w:t>
        </w:r>
        <w:r>
          <w:rPr>
            <w:rStyle w:val="Hyperlink"/>
            <w:rFonts w:ascii="Calibri" w:hAnsi="Calibri" w:cs="Calibri"/>
            <w:b/>
            <w:bCs/>
            <w:color w:val="000000" w:themeColor="text1"/>
            <w:sz w:val="24"/>
            <w:szCs w:val="24"/>
            <w:u w:val="none"/>
          </w:rPr>
          <w:t xml:space="preserve"> </w:t>
        </w:r>
        <w:r w:rsidRPr="00893F9B">
          <w:rPr>
            <w:rStyle w:val="Hyperlink"/>
            <w:rFonts w:ascii="Calibri" w:hAnsi="Calibri" w:cs="Calibri"/>
            <w:b/>
            <w:bCs/>
            <w:color w:val="000000" w:themeColor="text1"/>
            <w:sz w:val="24"/>
            <w:szCs w:val="24"/>
            <w:u w:val="none"/>
          </w:rPr>
          <w:t>Prognostic Factors for Immediate and Long-Term Outcomes After Aphasia Therapy</w:t>
        </w:r>
      </w:hyperlink>
    </w:p>
    <w:p w14:paraId="7A53A3A0" w14:textId="4A03935B" w:rsidR="00893F9B" w:rsidRPr="00893F9B" w:rsidRDefault="00893F9B" w:rsidP="00893F9B">
      <w:pPr>
        <w:spacing w:after="100" w:afterAutospacing="1"/>
        <w:outlineLvl w:val="2"/>
        <w:rPr>
          <w:rFonts w:ascii="Calibri" w:eastAsia="Times New Roman" w:hAnsi="Calibri" w:cs="Calibri"/>
          <w:b/>
          <w:bCs/>
          <w:color w:val="000000" w:themeColor="text1"/>
          <w:lang w:eastAsia="en-GB"/>
        </w:rPr>
      </w:pPr>
      <w:r w:rsidRPr="00893F9B">
        <w:rPr>
          <w:rStyle w:val="authorname"/>
          <w:rFonts w:ascii="Calibri" w:hAnsi="Calibri" w:cs="Calibri"/>
          <w:b/>
          <w:bCs/>
          <w:color w:val="000000" w:themeColor="text1"/>
        </w:rPr>
        <w:t xml:space="preserve"> </w:t>
      </w:r>
      <w:hyperlink r:id="rId5" w:history="1">
        <w:r w:rsidRPr="00893F9B">
          <w:rPr>
            <w:rStyle w:val="Hyperlink"/>
            <w:rFonts w:ascii="Calibri" w:hAnsi="Calibri" w:cs="Calibri"/>
            <w:i/>
            <w:iCs/>
            <w:color w:val="000000" w:themeColor="text1"/>
            <w:spacing w:val="10"/>
            <w:u w:val="none"/>
          </w:rPr>
          <w:t>Journal o</w:t>
        </w:r>
        <w:r w:rsidRPr="00893F9B">
          <w:rPr>
            <w:rStyle w:val="Hyperlink"/>
            <w:rFonts w:ascii="Calibri" w:hAnsi="Calibri" w:cs="Calibri"/>
            <w:i/>
            <w:iCs/>
            <w:color w:val="000000" w:themeColor="text1"/>
            <w:spacing w:val="10"/>
            <w:u w:val="none"/>
          </w:rPr>
          <w:t>f</w:t>
        </w:r>
        <w:r w:rsidRPr="00893F9B">
          <w:rPr>
            <w:rStyle w:val="Hyperlink"/>
            <w:rFonts w:ascii="Calibri" w:hAnsi="Calibri" w:cs="Calibri"/>
            <w:i/>
            <w:iCs/>
            <w:color w:val="000000" w:themeColor="text1"/>
            <w:spacing w:val="10"/>
            <w:u w:val="none"/>
          </w:rPr>
          <w:t xml:space="preserve"> Speech, Language, and Hearing Research</w:t>
        </w:r>
      </w:hyperlink>
      <w:r w:rsidRPr="00893F9B">
        <w:rPr>
          <w:rFonts w:ascii="Calibri" w:hAnsi="Calibri" w:cs="Calibri"/>
          <w:b/>
          <w:bCs/>
          <w:color w:val="000000" w:themeColor="text1"/>
        </w:rPr>
        <w:t xml:space="preserve"> </w:t>
      </w:r>
      <w:proofErr w:type="spellStart"/>
      <w:r w:rsidRPr="00893F9B">
        <w:rPr>
          <w:rFonts w:ascii="Calibri" w:hAnsi="Calibri" w:cs="Calibri"/>
          <w:b/>
          <w:bCs/>
          <w:color w:val="000000" w:themeColor="text1"/>
        </w:rPr>
        <w:t>ePub</w:t>
      </w:r>
      <w:proofErr w:type="spellEnd"/>
      <w:r w:rsidRPr="00893F9B">
        <w:rPr>
          <w:rFonts w:ascii="Calibri" w:hAnsi="Calibri" w:cs="Calibri"/>
          <w:b/>
          <w:bCs/>
          <w:color w:val="000000" w:themeColor="text1"/>
        </w:rPr>
        <w:t xml:space="preserve"> pg1-17</w:t>
      </w:r>
    </w:p>
    <w:p w14:paraId="5AC62AC9" w14:textId="77777777" w:rsidR="00893F9B" w:rsidRPr="00893F9B" w:rsidRDefault="00893F9B" w:rsidP="00893F9B">
      <w:pPr>
        <w:spacing w:after="100" w:afterAutospacing="1"/>
        <w:outlineLvl w:val="2"/>
        <w:rPr>
          <w:rFonts w:ascii="Calibri" w:eastAsia="Times New Roman" w:hAnsi="Calibri" w:cs="Calibri"/>
          <w:b/>
          <w:bCs/>
          <w:color w:val="000000" w:themeColor="text1"/>
          <w:lang w:eastAsia="en-GB"/>
        </w:rPr>
      </w:pPr>
    </w:p>
    <w:p w14:paraId="31EE288F" w14:textId="75B924D0" w:rsidR="00893F9B" w:rsidRPr="00893F9B" w:rsidRDefault="00893F9B" w:rsidP="00893F9B">
      <w:pPr>
        <w:spacing w:after="100" w:afterAutospacing="1"/>
        <w:outlineLvl w:val="2"/>
        <w:rPr>
          <w:rFonts w:ascii="Calibri" w:eastAsia="Times New Roman" w:hAnsi="Calibri" w:cs="Calibri"/>
          <w:b/>
          <w:bCs/>
          <w:color w:val="000000" w:themeColor="text1"/>
          <w:lang w:eastAsia="en-GB"/>
        </w:rPr>
      </w:pPr>
      <w:r w:rsidRPr="00893F9B">
        <w:rPr>
          <w:rFonts w:ascii="Calibri" w:eastAsia="Times New Roman" w:hAnsi="Calibri" w:cs="Calibri"/>
          <w:b/>
          <w:bCs/>
          <w:color w:val="000000" w:themeColor="text1"/>
          <w:lang w:eastAsia="en-GB"/>
        </w:rPr>
        <w:t>Background:</w:t>
      </w:r>
      <w:r w:rsidRPr="00893F9B">
        <w:rPr>
          <w:rFonts w:ascii="Calibri" w:eastAsia="Times New Roman" w:hAnsi="Calibri" w:cs="Calibri"/>
          <w:b/>
          <w:bCs/>
          <w:color w:val="000000" w:themeColor="text1"/>
          <w:lang w:eastAsia="en-GB"/>
        </w:rPr>
        <w:t xml:space="preserve"> </w:t>
      </w:r>
      <w:r w:rsidRPr="00893F9B">
        <w:rPr>
          <w:rFonts w:ascii="Calibri" w:eastAsia="Times New Roman" w:hAnsi="Calibri" w:cs="Calibri"/>
          <w:color w:val="000000" w:themeColor="text1"/>
          <w:lang w:eastAsia="en-GB"/>
        </w:rPr>
        <w:t xml:space="preserve">Aphasia therapy is an effective approach to improve language function in chronic aphasia. However, it remains unclear what prognostic factors facilitate therapy response at the individual level. Here, we utilized data from the POLAR (Predicting Outcomes of Language Rehabilitation in Aphasia) trial to (a) determine therapy-induced change in confrontation naming and long-term maintenance of naming gains and (b) examine the extent to which aphasia severity, age, education, time </w:t>
      </w:r>
      <w:proofErr w:type="spellStart"/>
      <w:r w:rsidRPr="00893F9B">
        <w:rPr>
          <w:rFonts w:ascii="Calibri" w:eastAsia="Times New Roman" w:hAnsi="Calibri" w:cs="Calibri"/>
          <w:color w:val="000000" w:themeColor="text1"/>
          <w:lang w:eastAsia="en-GB"/>
        </w:rPr>
        <w:t>postonset</w:t>
      </w:r>
      <w:proofErr w:type="spellEnd"/>
      <w:r w:rsidRPr="00893F9B">
        <w:rPr>
          <w:rFonts w:ascii="Calibri" w:eastAsia="Times New Roman" w:hAnsi="Calibri" w:cs="Calibri"/>
          <w:color w:val="000000" w:themeColor="text1"/>
          <w:lang w:eastAsia="en-GB"/>
        </w:rPr>
        <w:t>, and cognitive reserve predict naming gains at 1 week, 1 month, and 6 months posttherapy.</w:t>
      </w:r>
    </w:p>
    <w:p w14:paraId="0DA3E287" w14:textId="4B218306" w:rsidR="00893F9B" w:rsidRPr="00893F9B" w:rsidRDefault="00893F9B" w:rsidP="00893F9B">
      <w:pPr>
        <w:spacing w:after="100" w:afterAutospacing="1"/>
        <w:outlineLvl w:val="2"/>
        <w:rPr>
          <w:rFonts w:ascii="Calibri" w:eastAsia="Times New Roman" w:hAnsi="Calibri" w:cs="Calibri"/>
          <w:b/>
          <w:bCs/>
          <w:color w:val="000000" w:themeColor="text1"/>
          <w:lang w:eastAsia="en-GB"/>
        </w:rPr>
      </w:pPr>
      <w:r w:rsidRPr="00893F9B">
        <w:rPr>
          <w:rFonts w:ascii="Calibri" w:eastAsia="Times New Roman" w:hAnsi="Calibri" w:cs="Calibri"/>
          <w:b/>
          <w:bCs/>
          <w:color w:val="000000" w:themeColor="text1"/>
          <w:lang w:eastAsia="en-GB"/>
        </w:rPr>
        <w:t>Method:</w:t>
      </w:r>
      <w:r w:rsidRPr="00893F9B">
        <w:rPr>
          <w:rFonts w:ascii="Calibri" w:eastAsia="Times New Roman" w:hAnsi="Calibri" w:cs="Calibri"/>
          <w:b/>
          <w:bCs/>
          <w:color w:val="000000" w:themeColor="text1"/>
          <w:lang w:eastAsia="en-GB"/>
        </w:rPr>
        <w:t xml:space="preserve"> </w:t>
      </w:r>
      <w:r w:rsidRPr="00893F9B">
        <w:rPr>
          <w:rFonts w:ascii="Calibri" w:eastAsia="Times New Roman" w:hAnsi="Calibri" w:cs="Calibri"/>
          <w:color w:val="000000" w:themeColor="text1"/>
          <w:lang w:eastAsia="en-GB"/>
        </w:rPr>
        <w:t>A total of 107 participants with chronic (≥ 12 months poststroke) aphasia underwent extensive case history, cognitive–linguistic testing, and a neuroimaging workup prior to receiving 6 weeks of impairment-based language therapy. Therapy-induced change in naming performance (measured as raw change on the 175-item Philadelphia Naming Test [PNT]) was assessed 1 week after therapy and at follow-up time points 1 month and 6 months after therapy completion. Change in naming performance over time was evaluated using paired </w:t>
      </w:r>
      <w:r w:rsidRPr="00893F9B">
        <w:rPr>
          <w:rFonts w:ascii="Calibri" w:eastAsia="Times New Roman" w:hAnsi="Calibri" w:cs="Calibri"/>
          <w:i/>
          <w:iCs/>
          <w:color w:val="000000" w:themeColor="text1"/>
          <w:lang w:eastAsia="en-GB"/>
        </w:rPr>
        <w:t>t</w:t>
      </w:r>
      <w:r w:rsidRPr="00893F9B">
        <w:rPr>
          <w:rFonts w:ascii="Calibri" w:eastAsia="Times New Roman" w:hAnsi="Calibri" w:cs="Calibri"/>
          <w:color w:val="000000" w:themeColor="text1"/>
          <w:lang w:eastAsia="en-GB"/>
        </w:rPr>
        <w:t> tests, and linear mixed-effects models were constructed to examine the association between prognostic factors and therapy outcomes.</w:t>
      </w:r>
    </w:p>
    <w:p w14:paraId="7BDBB791" w14:textId="7AFDE6AC" w:rsidR="00893F9B" w:rsidRPr="00893F9B" w:rsidRDefault="00893F9B" w:rsidP="00893F9B">
      <w:pPr>
        <w:spacing w:after="100" w:afterAutospacing="1"/>
        <w:outlineLvl w:val="2"/>
        <w:rPr>
          <w:rFonts w:ascii="Calibri" w:eastAsia="Times New Roman" w:hAnsi="Calibri" w:cs="Calibri"/>
          <w:b/>
          <w:bCs/>
          <w:color w:val="000000" w:themeColor="text1"/>
          <w:lang w:eastAsia="en-GB"/>
        </w:rPr>
      </w:pPr>
      <w:r w:rsidRPr="00893F9B">
        <w:rPr>
          <w:rFonts w:ascii="Calibri" w:eastAsia="Times New Roman" w:hAnsi="Calibri" w:cs="Calibri"/>
          <w:b/>
          <w:bCs/>
          <w:color w:val="000000" w:themeColor="text1"/>
          <w:lang w:eastAsia="en-GB"/>
        </w:rPr>
        <w:t>Results:</w:t>
      </w:r>
      <w:r w:rsidRPr="00893F9B">
        <w:rPr>
          <w:rFonts w:ascii="Calibri" w:eastAsia="Times New Roman" w:hAnsi="Calibri" w:cs="Calibri"/>
          <w:b/>
          <w:bCs/>
          <w:color w:val="000000" w:themeColor="text1"/>
          <w:lang w:eastAsia="en-GB"/>
        </w:rPr>
        <w:t xml:space="preserve"> </w:t>
      </w:r>
      <w:r w:rsidRPr="00893F9B">
        <w:rPr>
          <w:rFonts w:ascii="Calibri" w:eastAsia="Times New Roman" w:hAnsi="Calibri" w:cs="Calibri"/>
          <w:color w:val="000000" w:themeColor="text1"/>
          <w:lang w:eastAsia="en-GB"/>
        </w:rPr>
        <w:t>Naming performance was improved by 5.9 PNT items (Cohen's </w:t>
      </w:r>
      <w:r w:rsidRPr="00893F9B">
        <w:rPr>
          <w:rFonts w:ascii="Calibri" w:eastAsia="Times New Roman" w:hAnsi="Calibri" w:cs="Calibri"/>
          <w:i/>
          <w:iCs/>
          <w:color w:val="000000" w:themeColor="text1"/>
          <w:lang w:eastAsia="en-GB"/>
        </w:rPr>
        <w:t>d</w:t>
      </w:r>
      <w:r w:rsidRPr="00893F9B">
        <w:rPr>
          <w:rFonts w:ascii="Calibri" w:eastAsia="Times New Roman" w:hAnsi="Calibri" w:cs="Calibri"/>
          <w:color w:val="000000" w:themeColor="text1"/>
          <w:lang w:eastAsia="en-GB"/>
        </w:rPr>
        <w:t> = 0.56, </w:t>
      </w:r>
      <w:r w:rsidRPr="00893F9B">
        <w:rPr>
          <w:rFonts w:ascii="Calibri" w:eastAsia="Times New Roman" w:hAnsi="Calibri" w:cs="Calibri"/>
          <w:i/>
          <w:iCs/>
          <w:color w:val="000000" w:themeColor="text1"/>
          <w:lang w:eastAsia="en-GB"/>
        </w:rPr>
        <w:t>p</w:t>
      </w:r>
      <w:r w:rsidRPr="00893F9B">
        <w:rPr>
          <w:rFonts w:ascii="Calibri" w:eastAsia="Times New Roman" w:hAnsi="Calibri" w:cs="Calibri"/>
          <w:color w:val="000000" w:themeColor="text1"/>
          <w:lang w:eastAsia="en-GB"/>
        </w:rPr>
        <w:t> &lt; .001) 1 week after therapy and by 6.4 (</w:t>
      </w:r>
      <w:r w:rsidRPr="00893F9B">
        <w:rPr>
          <w:rFonts w:ascii="Calibri" w:eastAsia="Times New Roman" w:hAnsi="Calibri" w:cs="Calibri"/>
          <w:i/>
          <w:iCs/>
          <w:color w:val="000000" w:themeColor="text1"/>
          <w:lang w:eastAsia="en-GB"/>
        </w:rPr>
        <w:t>d</w:t>
      </w:r>
      <w:r w:rsidRPr="00893F9B">
        <w:rPr>
          <w:rFonts w:ascii="Calibri" w:eastAsia="Times New Roman" w:hAnsi="Calibri" w:cs="Calibri"/>
          <w:color w:val="000000" w:themeColor="text1"/>
          <w:lang w:eastAsia="en-GB"/>
        </w:rPr>
        <w:t> = 0.66, </w:t>
      </w:r>
      <w:r w:rsidRPr="00893F9B">
        <w:rPr>
          <w:rFonts w:ascii="Calibri" w:eastAsia="Times New Roman" w:hAnsi="Calibri" w:cs="Calibri"/>
          <w:i/>
          <w:iCs/>
          <w:color w:val="000000" w:themeColor="text1"/>
          <w:lang w:eastAsia="en-GB"/>
        </w:rPr>
        <w:t>p</w:t>
      </w:r>
      <w:r w:rsidRPr="00893F9B">
        <w:rPr>
          <w:rFonts w:ascii="Calibri" w:eastAsia="Times New Roman" w:hAnsi="Calibri" w:cs="Calibri"/>
          <w:color w:val="000000" w:themeColor="text1"/>
          <w:lang w:eastAsia="en-GB"/>
        </w:rPr>
        <w:t> &lt; .001) and 7.5 (</w:t>
      </w:r>
      <w:r w:rsidRPr="00893F9B">
        <w:rPr>
          <w:rFonts w:ascii="Calibri" w:eastAsia="Times New Roman" w:hAnsi="Calibri" w:cs="Calibri"/>
          <w:i/>
          <w:iCs/>
          <w:color w:val="000000" w:themeColor="text1"/>
          <w:lang w:eastAsia="en-GB"/>
        </w:rPr>
        <w:t>d</w:t>
      </w:r>
      <w:r w:rsidRPr="00893F9B">
        <w:rPr>
          <w:rFonts w:ascii="Calibri" w:eastAsia="Times New Roman" w:hAnsi="Calibri" w:cs="Calibri"/>
          <w:color w:val="000000" w:themeColor="text1"/>
          <w:lang w:eastAsia="en-GB"/>
        </w:rPr>
        <w:t> = 0.65, </w:t>
      </w:r>
      <w:r w:rsidRPr="00893F9B">
        <w:rPr>
          <w:rFonts w:ascii="Calibri" w:eastAsia="Times New Roman" w:hAnsi="Calibri" w:cs="Calibri"/>
          <w:i/>
          <w:iCs/>
          <w:color w:val="000000" w:themeColor="text1"/>
          <w:lang w:eastAsia="en-GB"/>
        </w:rPr>
        <w:t>p</w:t>
      </w:r>
      <w:r w:rsidRPr="00893F9B">
        <w:rPr>
          <w:rFonts w:ascii="Calibri" w:eastAsia="Times New Roman" w:hAnsi="Calibri" w:cs="Calibri"/>
          <w:color w:val="000000" w:themeColor="text1"/>
          <w:lang w:eastAsia="en-GB"/>
        </w:rPr>
        <w:t> &lt; .001) PNT items at 1 month and 6 months after therapy completion, respectively. Aphasia severity emerged as the strongest predictor of naming improvement recovery across time points; </w:t>
      </w:r>
      <w:r w:rsidRPr="00893F9B">
        <w:rPr>
          <w:rFonts w:ascii="Calibri" w:eastAsia="Times New Roman" w:hAnsi="Calibri" w:cs="Calibri"/>
          <w:i/>
          <w:iCs/>
          <w:color w:val="000000" w:themeColor="text1"/>
          <w:lang w:eastAsia="en-GB"/>
        </w:rPr>
        <w:t>mild</w:t>
      </w:r>
      <w:r w:rsidRPr="00893F9B">
        <w:rPr>
          <w:rFonts w:ascii="Calibri" w:eastAsia="Times New Roman" w:hAnsi="Calibri" w:cs="Calibri"/>
          <w:color w:val="000000" w:themeColor="text1"/>
          <w:lang w:eastAsia="en-GB"/>
        </w:rPr>
        <w:t> (ß = 5.85–9.02) and </w:t>
      </w:r>
      <w:r w:rsidRPr="00893F9B">
        <w:rPr>
          <w:rFonts w:ascii="Calibri" w:eastAsia="Times New Roman" w:hAnsi="Calibri" w:cs="Calibri"/>
          <w:i/>
          <w:iCs/>
          <w:color w:val="000000" w:themeColor="text1"/>
          <w:lang w:eastAsia="en-GB"/>
        </w:rPr>
        <w:t>moderate</w:t>
      </w:r>
      <w:r w:rsidRPr="00893F9B">
        <w:rPr>
          <w:rFonts w:ascii="Calibri" w:eastAsia="Times New Roman" w:hAnsi="Calibri" w:cs="Calibri"/>
          <w:color w:val="000000" w:themeColor="text1"/>
          <w:lang w:eastAsia="en-GB"/>
        </w:rPr>
        <w:t> (ß = 9.65–11.54) impairment predicted better recovery than </w:t>
      </w:r>
      <w:r w:rsidRPr="00893F9B">
        <w:rPr>
          <w:rFonts w:ascii="Calibri" w:eastAsia="Times New Roman" w:hAnsi="Calibri" w:cs="Calibri"/>
          <w:i/>
          <w:iCs/>
          <w:color w:val="000000" w:themeColor="text1"/>
          <w:lang w:eastAsia="en-GB"/>
        </w:rPr>
        <w:t>severe</w:t>
      </w:r>
      <w:r w:rsidRPr="00893F9B">
        <w:rPr>
          <w:rFonts w:ascii="Calibri" w:eastAsia="Times New Roman" w:hAnsi="Calibri" w:cs="Calibri"/>
          <w:color w:val="000000" w:themeColor="text1"/>
          <w:lang w:eastAsia="en-GB"/>
        </w:rPr>
        <w:t> (ß = 1.31–3.37) and </w:t>
      </w:r>
      <w:r w:rsidRPr="00893F9B">
        <w:rPr>
          <w:rFonts w:ascii="Calibri" w:eastAsia="Times New Roman" w:hAnsi="Calibri" w:cs="Calibri"/>
          <w:i/>
          <w:iCs/>
          <w:color w:val="000000" w:themeColor="text1"/>
          <w:lang w:eastAsia="en-GB"/>
        </w:rPr>
        <w:t>very severe</w:t>
      </w:r>
      <w:r w:rsidRPr="00893F9B">
        <w:rPr>
          <w:rFonts w:ascii="Calibri" w:eastAsia="Times New Roman" w:hAnsi="Calibri" w:cs="Calibri"/>
          <w:color w:val="000000" w:themeColor="text1"/>
          <w:lang w:eastAsia="en-GB"/>
        </w:rPr>
        <w:t xml:space="preserve"> (ß = 0.20–0.32) aphasia. Age was an emergent prognostic factor for recovery 1 month (ß = −0.14) and 6 months (ß = −0.20) after therapy, and time </w:t>
      </w:r>
      <w:proofErr w:type="spellStart"/>
      <w:r w:rsidRPr="00893F9B">
        <w:rPr>
          <w:rFonts w:ascii="Calibri" w:eastAsia="Times New Roman" w:hAnsi="Calibri" w:cs="Calibri"/>
          <w:color w:val="000000" w:themeColor="text1"/>
          <w:lang w:eastAsia="en-GB"/>
        </w:rPr>
        <w:t>postonset</w:t>
      </w:r>
      <w:proofErr w:type="spellEnd"/>
      <w:r w:rsidRPr="00893F9B">
        <w:rPr>
          <w:rFonts w:ascii="Calibri" w:eastAsia="Times New Roman" w:hAnsi="Calibri" w:cs="Calibri"/>
          <w:color w:val="000000" w:themeColor="text1"/>
          <w:lang w:eastAsia="en-GB"/>
        </w:rPr>
        <w:t xml:space="preserve"> (ß = −0.05) was associated with retention of naming gains at 6 months posttherapy.</w:t>
      </w:r>
    </w:p>
    <w:p w14:paraId="392A60B1" w14:textId="77D11ABE" w:rsidR="00893F9B" w:rsidRPr="00893F9B" w:rsidRDefault="00893F9B" w:rsidP="00893F9B">
      <w:pPr>
        <w:spacing w:after="100" w:afterAutospacing="1"/>
        <w:outlineLvl w:val="2"/>
        <w:rPr>
          <w:rFonts w:ascii="Calibri" w:eastAsia="Times New Roman" w:hAnsi="Calibri" w:cs="Calibri"/>
          <w:b/>
          <w:bCs/>
          <w:color w:val="000000" w:themeColor="text1"/>
          <w:lang w:eastAsia="en-GB"/>
        </w:rPr>
      </w:pPr>
      <w:r w:rsidRPr="00893F9B">
        <w:rPr>
          <w:rFonts w:ascii="Calibri" w:eastAsia="Times New Roman" w:hAnsi="Calibri" w:cs="Calibri"/>
          <w:b/>
          <w:bCs/>
          <w:color w:val="000000" w:themeColor="text1"/>
          <w:lang w:eastAsia="en-GB"/>
        </w:rPr>
        <w:t>Conclusions:</w:t>
      </w:r>
      <w:r w:rsidRPr="00893F9B">
        <w:rPr>
          <w:rFonts w:ascii="Calibri" w:eastAsia="Times New Roman" w:hAnsi="Calibri" w:cs="Calibri"/>
          <w:b/>
          <w:bCs/>
          <w:color w:val="000000" w:themeColor="text1"/>
          <w:lang w:eastAsia="en-GB"/>
        </w:rPr>
        <w:t xml:space="preserve"> </w:t>
      </w:r>
      <w:r w:rsidRPr="00893F9B">
        <w:rPr>
          <w:rFonts w:ascii="Calibri" w:eastAsia="Times New Roman" w:hAnsi="Calibri" w:cs="Calibri"/>
          <w:color w:val="000000" w:themeColor="text1"/>
          <w:lang w:eastAsia="en-GB"/>
        </w:rPr>
        <w:t xml:space="preserve">These results suggest that therapy-induced naming improvement is predictable based on several easily measurable prognostic factors. Broadly speaking, these results suggest that prognostication procedures in aphasia therapy can be improved and indicate that personalization of therapy is a realistic goal </w:t>
      </w:r>
      <w:proofErr w:type="gramStart"/>
      <w:r w:rsidRPr="00893F9B">
        <w:rPr>
          <w:rFonts w:ascii="Calibri" w:eastAsia="Times New Roman" w:hAnsi="Calibri" w:cs="Calibri"/>
          <w:color w:val="000000" w:themeColor="text1"/>
          <w:lang w:eastAsia="en-GB"/>
        </w:rPr>
        <w:t>in the near future</w:t>
      </w:r>
      <w:proofErr w:type="gramEnd"/>
      <w:r w:rsidRPr="00893F9B">
        <w:rPr>
          <w:rFonts w:ascii="Calibri" w:eastAsia="Times New Roman" w:hAnsi="Calibri" w:cs="Calibri"/>
          <w:color w:val="000000" w:themeColor="text1"/>
          <w:lang w:eastAsia="en-GB"/>
        </w:rPr>
        <w:t>.</w:t>
      </w:r>
    </w:p>
    <w:p w14:paraId="48EDA208" w14:textId="77777777" w:rsidR="00700A93" w:rsidRPr="00893F9B" w:rsidRDefault="00000000">
      <w:pPr>
        <w:rPr>
          <w:rFonts w:ascii="Calibri" w:hAnsi="Calibri" w:cs="Calibri"/>
          <w:color w:val="000000" w:themeColor="text1"/>
        </w:rPr>
      </w:pPr>
    </w:p>
    <w:sectPr w:rsidR="00700A93" w:rsidRPr="00893F9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B"/>
    <w:rsid w:val="007B79D4"/>
    <w:rsid w:val="00893F9B"/>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4015D3"/>
  <w14:defaultImageDpi w14:val="32767"/>
  <w15:chartTrackingRefBased/>
  <w15:docId w15:val="{41D6C724-1A7F-1F43-9EC1-E3181154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F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93F9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3F9B"/>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893F9B"/>
  </w:style>
  <w:style w:type="paragraph" w:styleId="NormalWeb">
    <w:name w:val="Normal (Web)"/>
    <w:basedOn w:val="Normal"/>
    <w:uiPriority w:val="99"/>
    <w:semiHidden/>
    <w:unhideWhenUsed/>
    <w:rsid w:val="00893F9B"/>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893F9B"/>
  </w:style>
  <w:style w:type="character" w:customStyle="1" w:styleId="authorname">
    <w:name w:val="authorname"/>
    <w:basedOn w:val="DefaultParagraphFont"/>
    <w:rsid w:val="00893F9B"/>
  </w:style>
  <w:style w:type="character" w:styleId="Hyperlink">
    <w:name w:val="Hyperlink"/>
    <w:basedOn w:val="DefaultParagraphFont"/>
    <w:uiPriority w:val="99"/>
    <w:semiHidden/>
    <w:unhideWhenUsed/>
    <w:rsid w:val="00893F9B"/>
    <w:rPr>
      <w:color w:val="0000FF"/>
      <w:u w:val="single"/>
    </w:rPr>
  </w:style>
  <w:style w:type="character" w:customStyle="1" w:styleId="Heading1Char">
    <w:name w:val="Heading 1 Char"/>
    <w:basedOn w:val="DefaultParagraphFont"/>
    <w:link w:val="Heading1"/>
    <w:uiPriority w:val="9"/>
    <w:rsid w:val="00893F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25213">
      <w:bodyDiv w:val="1"/>
      <w:marLeft w:val="0"/>
      <w:marRight w:val="0"/>
      <w:marTop w:val="0"/>
      <w:marBottom w:val="0"/>
      <w:divBdr>
        <w:top w:val="none" w:sz="0" w:space="0" w:color="auto"/>
        <w:left w:val="none" w:sz="0" w:space="0" w:color="auto"/>
        <w:bottom w:val="none" w:sz="0" w:space="0" w:color="auto"/>
        <w:right w:val="none" w:sz="0" w:space="0" w:color="auto"/>
      </w:divBdr>
    </w:div>
    <w:div w:id="13704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s.asha.org/journal/jslhr" TargetMode="External"/><Relationship Id="rId4" Type="http://schemas.openxmlformats.org/officeDocument/2006/relationships/hyperlink" Target="https://pubs.asha.org/doi/full/10.1044/2022_JSLHR-22-00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2023-02-28T13:04:00Z</dcterms:created>
  <dcterms:modified xsi:type="dcterms:W3CDTF">2023-02-28T13:08:00Z</dcterms:modified>
</cp:coreProperties>
</file>