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2D7ECF" w14:textId="77777777" w:rsidR="00C96800" w:rsidRPr="00A12E89" w:rsidRDefault="00C96800" w:rsidP="00C96800">
      <w:pPr>
        <w:rPr>
          <w:rFonts w:ascii="Calibri" w:eastAsia="Times New Roman" w:hAnsi="Calibri" w:cs="Calibri"/>
          <w:b/>
        </w:rPr>
      </w:pPr>
      <w:r w:rsidRPr="00A12E89">
        <w:rPr>
          <w:rFonts w:ascii="Calibri" w:eastAsia="Times New Roman" w:hAnsi="Calibri" w:cs="Calibri"/>
          <w:b/>
          <w:color w:val="333333"/>
        </w:rPr>
        <w:t xml:space="preserve">Brielle C. Stark, Lucy Bryant, </w:t>
      </w:r>
      <w:proofErr w:type="spellStart"/>
      <w:r w:rsidRPr="00A12E89">
        <w:rPr>
          <w:rFonts w:ascii="Calibri" w:eastAsia="Times New Roman" w:hAnsi="Calibri" w:cs="Calibri"/>
          <w:b/>
          <w:color w:val="333333"/>
        </w:rPr>
        <w:t>Charalambos</w:t>
      </w:r>
      <w:proofErr w:type="spellEnd"/>
      <w:r w:rsidRPr="00A12E89">
        <w:rPr>
          <w:rFonts w:ascii="Calibri" w:eastAsia="Times New Roman" w:hAnsi="Calibri" w:cs="Calibri"/>
          <w:b/>
          <w:color w:val="333333"/>
        </w:rPr>
        <w:t xml:space="preserve"> </w:t>
      </w:r>
      <w:proofErr w:type="spellStart"/>
      <w:r w:rsidRPr="00A12E89">
        <w:rPr>
          <w:rFonts w:ascii="Calibri" w:eastAsia="Times New Roman" w:hAnsi="Calibri" w:cs="Calibri"/>
          <w:b/>
          <w:color w:val="333333"/>
        </w:rPr>
        <w:t>Themistocleous</w:t>
      </w:r>
      <w:proofErr w:type="spellEnd"/>
      <w:r w:rsidRPr="00A12E89">
        <w:rPr>
          <w:rFonts w:ascii="Calibri" w:eastAsia="Times New Roman" w:hAnsi="Calibri" w:cs="Calibri"/>
          <w:b/>
          <w:color w:val="333333"/>
        </w:rPr>
        <w:t xml:space="preserve">, Dirk-Bart den </w:t>
      </w:r>
      <w:proofErr w:type="spellStart"/>
      <w:r w:rsidRPr="00A12E89">
        <w:rPr>
          <w:rFonts w:ascii="Calibri" w:eastAsia="Times New Roman" w:hAnsi="Calibri" w:cs="Calibri"/>
          <w:b/>
          <w:color w:val="333333"/>
        </w:rPr>
        <w:t>Ouden</w:t>
      </w:r>
      <w:proofErr w:type="spellEnd"/>
      <w:r w:rsidRPr="00A12E89">
        <w:rPr>
          <w:rFonts w:ascii="Calibri" w:eastAsia="Times New Roman" w:hAnsi="Calibri" w:cs="Calibri"/>
          <w:b/>
          <w:color w:val="333333"/>
        </w:rPr>
        <w:t xml:space="preserve"> &amp; Angela C. Roberts</w:t>
      </w:r>
      <w:r w:rsidRPr="00A12E89">
        <w:rPr>
          <w:rFonts w:ascii="Calibri" w:eastAsia="Times New Roman" w:hAnsi="Calibri" w:cs="Calibri"/>
          <w:b/>
          <w:color w:val="333333"/>
          <w:shd w:val="clear" w:color="auto" w:fill="FFFFFF"/>
        </w:rPr>
        <w:t> </w:t>
      </w:r>
      <w:r w:rsidRPr="00A12E89">
        <w:rPr>
          <w:rFonts w:ascii="Calibri" w:eastAsia="Times New Roman" w:hAnsi="Calibri" w:cs="Calibri"/>
          <w:b/>
          <w:color w:val="333333"/>
        </w:rPr>
        <w:t>(2022)</w:t>
      </w:r>
      <w:r w:rsidRPr="00A12E89">
        <w:rPr>
          <w:rFonts w:ascii="Calibri" w:eastAsia="Times New Roman" w:hAnsi="Calibri" w:cs="Calibri"/>
          <w:b/>
          <w:color w:val="333333"/>
          <w:shd w:val="clear" w:color="auto" w:fill="FFFFFF"/>
        </w:rPr>
        <w:t> </w:t>
      </w:r>
      <w:r w:rsidRPr="00A12E89">
        <w:rPr>
          <w:rFonts w:ascii="Calibri" w:eastAsia="Times New Roman" w:hAnsi="Calibri" w:cs="Calibri"/>
          <w:b/>
          <w:color w:val="333333"/>
        </w:rPr>
        <w:t>Best practice guidelines for reporting spoken discourse in aphasia and neurogenic communication disorders,</w:t>
      </w:r>
      <w:r w:rsidRPr="00A12E89">
        <w:rPr>
          <w:rFonts w:ascii="Calibri" w:eastAsia="Times New Roman" w:hAnsi="Calibri" w:cs="Calibri"/>
          <w:b/>
          <w:color w:val="333333"/>
          <w:shd w:val="clear" w:color="auto" w:fill="FFFFFF"/>
        </w:rPr>
        <w:t> </w:t>
      </w:r>
      <w:r w:rsidRPr="00A12E89">
        <w:rPr>
          <w:rFonts w:ascii="Calibri" w:eastAsia="Times New Roman" w:hAnsi="Calibri" w:cs="Calibri"/>
          <w:b/>
          <w:color w:val="333333"/>
        </w:rPr>
        <w:t>Aphasiology,</w:t>
      </w:r>
      <w:r w:rsidRPr="00A12E89">
        <w:rPr>
          <w:rFonts w:ascii="Calibri" w:eastAsia="Times New Roman" w:hAnsi="Calibri" w:cs="Calibri"/>
          <w:b/>
          <w:color w:val="333333"/>
          <w:shd w:val="clear" w:color="auto" w:fill="FFFFFF"/>
        </w:rPr>
        <w:t> </w:t>
      </w:r>
      <w:r w:rsidRPr="00A12E89">
        <w:rPr>
          <w:rFonts w:ascii="Calibri" w:eastAsia="Times New Roman" w:hAnsi="Calibri" w:cs="Calibri"/>
          <w:b/>
          <w:color w:val="333333"/>
        </w:rPr>
        <w:t>DOI: </w:t>
      </w:r>
      <w:hyperlink r:id="rId4" w:history="1">
        <w:r w:rsidRPr="00A12E89">
          <w:rPr>
            <w:rFonts w:ascii="Calibri" w:eastAsia="Times New Roman" w:hAnsi="Calibri" w:cs="Calibri"/>
            <w:b/>
            <w:color w:val="333333"/>
            <w:u w:val="single"/>
          </w:rPr>
          <w:t>10.1080/02687038.2022.2039372</w:t>
        </w:r>
      </w:hyperlink>
    </w:p>
    <w:p w14:paraId="25B5CE3C" w14:textId="3C669083" w:rsidR="00700A93" w:rsidRPr="00A12E89" w:rsidRDefault="00A12E89">
      <w:pPr>
        <w:rPr>
          <w:rFonts w:ascii="Calibri" w:hAnsi="Calibri" w:cs="Calibri"/>
        </w:rPr>
      </w:pPr>
    </w:p>
    <w:p w14:paraId="2DFCC48B" w14:textId="4AA59ADF" w:rsidR="00C96800" w:rsidRPr="00A12E89" w:rsidRDefault="00C96800" w:rsidP="00C96800">
      <w:pPr>
        <w:spacing w:before="240" w:after="240"/>
        <w:rPr>
          <w:rFonts w:ascii="Calibri" w:eastAsia="Times New Roman" w:hAnsi="Calibri" w:cs="Calibri"/>
          <w:color w:val="333333"/>
        </w:rPr>
      </w:pPr>
      <w:r w:rsidRPr="00A12E89">
        <w:rPr>
          <w:rFonts w:ascii="Calibri" w:eastAsia="Times New Roman" w:hAnsi="Calibri" w:cs="Calibri"/>
          <w:i/>
          <w:color w:val="333333"/>
        </w:rPr>
        <w:t>Background</w:t>
      </w:r>
      <w:r w:rsidRPr="00A12E89">
        <w:rPr>
          <w:rFonts w:ascii="Calibri" w:eastAsia="Times New Roman" w:hAnsi="Calibri" w:cs="Calibri"/>
          <w:color w:val="333333"/>
        </w:rPr>
        <w:t>: Spoken discourse is a fundamental form of communication, yet often disrupted in persons with aphasia and other neurogenic communication disorders. It follows that discourse analysis is important for understanding language, its impairments, and language recovery in these populations. Being a highly interdisciplinary field, discourse analysis would benefit from a set of guidelines (best practices) that help streamline reporting and discussion of discourse specific to populations with neurogenic communication disorders. This would enhance the overall quality of ongoing research by improving replicability, allowing meta-analysi</w:t>
      </w:r>
      <w:bookmarkStart w:id="0" w:name="_GoBack"/>
      <w:bookmarkEnd w:id="0"/>
      <w:r w:rsidRPr="00A12E89">
        <w:rPr>
          <w:rFonts w:ascii="Calibri" w:eastAsia="Times New Roman" w:hAnsi="Calibri" w:cs="Calibri"/>
          <w:color w:val="333333"/>
        </w:rPr>
        <w:t>s, and supporting implementation in clinical practice.</w:t>
      </w:r>
    </w:p>
    <w:p w14:paraId="65D322C6" w14:textId="0408A416" w:rsidR="00C96800" w:rsidRPr="00A12E89" w:rsidRDefault="00C96800" w:rsidP="00C96800">
      <w:pPr>
        <w:spacing w:before="240" w:after="240"/>
        <w:rPr>
          <w:rFonts w:ascii="Calibri" w:eastAsia="Times New Roman" w:hAnsi="Calibri" w:cs="Calibri"/>
          <w:color w:val="333333"/>
        </w:rPr>
      </w:pPr>
      <w:r w:rsidRPr="00A12E89">
        <w:rPr>
          <w:rFonts w:ascii="Calibri" w:eastAsia="Times New Roman" w:hAnsi="Calibri" w:cs="Calibri"/>
          <w:i/>
          <w:color w:val="333333"/>
        </w:rPr>
        <w:t>Aims:</w:t>
      </w:r>
      <w:r w:rsidRPr="00A12E89">
        <w:rPr>
          <w:rFonts w:ascii="Calibri" w:eastAsia="Times New Roman" w:hAnsi="Calibri" w:cs="Calibri"/>
          <w:color w:val="333333"/>
        </w:rPr>
        <w:t xml:space="preserve"> To establish clear reporting guidelines for studies that use spoken discourse analysis in aphasia.</w:t>
      </w:r>
    </w:p>
    <w:p w14:paraId="7A9935F8" w14:textId="18EC9DE2" w:rsidR="00C96800" w:rsidRPr="00A12E89" w:rsidRDefault="00C96800" w:rsidP="00C96800">
      <w:pPr>
        <w:spacing w:before="240" w:after="240"/>
        <w:rPr>
          <w:rFonts w:ascii="Calibri" w:eastAsia="Times New Roman" w:hAnsi="Calibri" w:cs="Calibri"/>
          <w:color w:val="333333"/>
        </w:rPr>
      </w:pPr>
      <w:r w:rsidRPr="00A12E89">
        <w:rPr>
          <w:rFonts w:ascii="Calibri" w:eastAsia="Times New Roman" w:hAnsi="Calibri" w:cs="Calibri"/>
          <w:i/>
          <w:color w:val="333333"/>
        </w:rPr>
        <w:t>Methods &amp; Procedures:</w:t>
      </w:r>
      <w:r w:rsidRPr="00A12E89">
        <w:rPr>
          <w:rFonts w:ascii="Calibri" w:eastAsia="Times New Roman" w:hAnsi="Calibri" w:cs="Calibri"/>
          <w:color w:val="333333"/>
        </w:rPr>
        <w:t xml:space="preserve"> An e-Delphi survey methodology was used. We identified aphasia and neurogenic communication disorder experts using Boolean search criteria and author consensus, then invited these individuals to participate in an online, three-round survey. The three rounds took place between November 2020 and June 2021. In each round, participants were asked to rank necessity of items on a scale of 1 (“</w:t>
      </w:r>
      <w:r w:rsidRPr="00A12E89">
        <w:rPr>
          <w:rFonts w:ascii="Calibri" w:eastAsia="Times New Roman" w:hAnsi="Calibri" w:cs="Calibri"/>
          <w:i/>
          <w:iCs/>
          <w:color w:val="333333"/>
        </w:rPr>
        <w:t>not at all necessary</w:t>
      </w:r>
      <w:r w:rsidRPr="00A12E89">
        <w:rPr>
          <w:rFonts w:ascii="Calibri" w:eastAsia="Times New Roman" w:hAnsi="Calibri" w:cs="Calibri"/>
          <w:color w:val="333333"/>
        </w:rPr>
        <w:t>”) to 5 (“</w:t>
      </w:r>
      <w:r w:rsidRPr="00A12E89">
        <w:rPr>
          <w:rFonts w:ascii="Calibri" w:eastAsia="Times New Roman" w:hAnsi="Calibri" w:cs="Calibri"/>
          <w:i/>
          <w:iCs/>
          <w:color w:val="333333"/>
        </w:rPr>
        <w:t>extremely necessary</w:t>
      </w:r>
      <w:r w:rsidRPr="00A12E89">
        <w:rPr>
          <w:rFonts w:ascii="Calibri" w:eastAsia="Times New Roman" w:hAnsi="Calibri" w:cs="Calibri"/>
          <w:color w:val="333333"/>
        </w:rPr>
        <w:t>”). Participants were instructed to rate based on whether the item was necessary to inform the creation of a minimum reporting guideline. Only participants who responded in the prior round were invited to participate in subsequent rounds. Items that met predetermined consensus criteria for ratings greater than “</w:t>
      </w:r>
      <w:r w:rsidRPr="00A12E89">
        <w:rPr>
          <w:rFonts w:ascii="Calibri" w:eastAsia="Times New Roman" w:hAnsi="Calibri" w:cs="Calibri"/>
          <w:i/>
          <w:iCs/>
          <w:color w:val="333333"/>
        </w:rPr>
        <w:t>necessary</w:t>
      </w:r>
      <w:r w:rsidRPr="00A12E89">
        <w:rPr>
          <w:rFonts w:ascii="Calibri" w:eastAsia="Times New Roman" w:hAnsi="Calibri" w:cs="Calibri"/>
          <w:color w:val="333333"/>
        </w:rPr>
        <w:t>” were brought forward to each subsequent round. New items were added to each round based on qualitative information collected from participants.</w:t>
      </w:r>
    </w:p>
    <w:p w14:paraId="54C8B915" w14:textId="3A4FF197" w:rsidR="00C96800" w:rsidRPr="00A12E89" w:rsidRDefault="00C96800" w:rsidP="00C96800">
      <w:pPr>
        <w:spacing w:before="240" w:after="240"/>
        <w:rPr>
          <w:rFonts w:ascii="Calibri" w:eastAsia="Times New Roman" w:hAnsi="Calibri" w:cs="Calibri"/>
          <w:color w:val="333333"/>
        </w:rPr>
      </w:pPr>
      <w:r w:rsidRPr="00A12E89">
        <w:rPr>
          <w:rFonts w:ascii="Calibri" w:eastAsia="Times New Roman" w:hAnsi="Calibri" w:cs="Calibri"/>
          <w:i/>
          <w:color w:val="333333"/>
        </w:rPr>
        <w:t>Outcomes &amp; Results:</w:t>
      </w:r>
      <w:r w:rsidRPr="00A12E89">
        <w:rPr>
          <w:rFonts w:ascii="Calibri" w:eastAsia="Times New Roman" w:hAnsi="Calibri" w:cs="Calibri"/>
          <w:color w:val="333333"/>
        </w:rPr>
        <w:t xml:space="preserve"> Items that were rated by ≥ 70% of the participants as “</w:t>
      </w:r>
      <w:r w:rsidRPr="00A12E89">
        <w:rPr>
          <w:rFonts w:ascii="Calibri" w:eastAsia="Times New Roman" w:hAnsi="Calibri" w:cs="Calibri"/>
          <w:i/>
          <w:iCs/>
          <w:color w:val="333333"/>
        </w:rPr>
        <w:t>highly necessary</w:t>
      </w:r>
      <w:r w:rsidRPr="00A12E89">
        <w:rPr>
          <w:rFonts w:ascii="Calibri" w:eastAsia="Times New Roman" w:hAnsi="Calibri" w:cs="Calibri"/>
          <w:color w:val="333333"/>
        </w:rPr>
        <w:t>” or “</w:t>
      </w:r>
      <w:r w:rsidRPr="00A12E89">
        <w:rPr>
          <w:rFonts w:ascii="Calibri" w:eastAsia="Times New Roman" w:hAnsi="Calibri" w:cs="Calibri"/>
          <w:i/>
          <w:iCs/>
          <w:color w:val="333333"/>
        </w:rPr>
        <w:t>extremely necessary</w:t>
      </w:r>
      <w:r w:rsidRPr="00A12E89">
        <w:rPr>
          <w:rFonts w:ascii="Calibri" w:eastAsia="Times New Roman" w:hAnsi="Calibri" w:cs="Calibri"/>
          <w:color w:val="333333"/>
        </w:rPr>
        <w:t>” in Round 3 were those deemed as “</w:t>
      </w:r>
      <w:r w:rsidRPr="00A12E89">
        <w:rPr>
          <w:rFonts w:ascii="Calibri" w:eastAsia="Times New Roman" w:hAnsi="Calibri" w:cs="Calibri"/>
          <w:i/>
          <w:iCs/>
          <w:color w:val="333333"/>
        </w:rPr>
        <w:t>necessary</w:t>
      </w:r>
      <w:r w:rsidRPr="00A12E89">
        <w:rPr>
          <w:rFonts w:ascii="Calibri" w:eastAsia="Times New Roman" w:hAnsi="Calibri" w:cs="Calibri"/>
          <w:color w:val="333333"/>
        </w:rPr>
        <w:t>” to be reported in research, whereas items rated &lt; 70% in Round 3 were deemed as “</w:t>
      </w:r>
      <w:r w:rsidRPr="00A12E89">
        <w:rPr>
          <w:rFonts w:ascii="Calibri" w:eastAsia="Times New Roman" w:hAnsi="Calibri" w:cs="Calibri"/>
          <w:i/>
          <w:iCs/>
          <w:color w:val="333333"/>
        </w:rPr>
        <w:t>recommended</w:t>
      </w:r>
      <w:r w:rsidRPr="00A12E89">
        <w:rPr>
          <w:rFonts w:ascii="Calibri" w:eastAsia="Times New Roman" w:hAnsi="Calibri" w:cs="Calibri"/>
          <w:color w:val="333333"/>
        </w:rPr>
        <w:t>” to be reported in research. Following Round 3, 16 items were deemed “</w:t>
      </w:r>
      <w:r w:rsidRPr="00A12E89">
        <w:rPr>
          <w:rFonts w:ascii="Calibri" w:eastAsia="Times New Roman" w:hAnsi="Calibri" w:cs="Calibri"/>
          <w:i/>
          <w:iCs/>
          <w:color w:val="333333"/>
        </w:rPr>
        <w:t>necessary</w:t>
      </w:r>
      <w:r w:rsidRPr="00A12E89">
        <w:rPr>
          <w:rFonts w:ascii="Calibri" w:eastAsia="Times New Roman" w:hAnsi="Calibri" w:cs="Calibri"/>
          <w:color w:val="333333"/>
        </w:rPr>
        <w:t>” to report in research. A further five items were “</w:t>
      </w:r>
      <w:r w:rsidRPr="00A12E89">
        <w:rPr>
          <w:rFonts w:ascii="Calibri" w:eastAsia="Times New Roman" w:hAnsi="Calibri" w:cs="Calibri"/>
          <w:i/>
          <w:iCs/>
          <w:color w:val="333333"/>
        </w:rPr>
        <w:t>recommended”</w:t>
      </w:r>
      <w:r w:rsidRPr="00A12E89">
        <w:rPr>
          <w:rFonts w:ascii="Calibri" w:eastAsia="Times New Roman" w:hAnsi="Calibri" w:cs="Calibri"/>
          <w:color w:val="333333"/>
        </w:rPr>
        <w:t>.</w:t>
      </w:r>
    </w:p>
    <w:p w14:paraId="1CDC2464" w14:textId="1365574A" w:rsidR="00C96800" w:rsidRPr="00A12E89" w:rsidRDefault="00C96800" w:rsidP="00C96800">
      <w:pPr>
        <w:spacing w:before="240" w:after="240"/>
        <w:rPr>
          <w:rFonts w:ascii="Calibri" w:eastAsia="Times New Roman" w:hAnsi="Calibri" w:cs="Calibri"/>
          <w:color w:val="333333"/>
        </w:rPr>
      </w:pPr>
      <w:r w:rsidRPr="00A12E89">
        <w:rPr>
          <w:rFonts w:ascii="Calibri" w:eastAsia="Times New Roman" w:hAnsi="Calibri" w:cs="Calibri"/>
          <w:i/>
          <w:color w:val="333333"/>
        </w:rPr>
        <w:t>Conclusions:</w:t>
      </w:r>
      <w:r w:rsidRPr="00A12E89">
        <w:rPr>
          <w:rFonts w:ascii="Calibri" w:eastAsia="Times New Roman" w:hAnsi="Calibri" w:cs="Calibri"/>
          <w:color w:val="333333"/>
        </w:rPr>
        <w:t xml:space="preserve"> Consensus by leading researchers in the field established that 20 reporting items were “</w:t>
      </w:r>
      <w:r w:rsidRPr="00A12E89">
        <w:rPr>
          <w:rFonts w:ascii="Calibri" w:eastAsia="Times New Roman" w:hAnsi="Calibri" w:cs="Calibri"/>
          <w:i/>
          <w:iCs/>
          <w:color w:val="333333"/>
        </w:rPr>
        <w:t>necessary”</w:t>
      </w:r>
      <w:r w:rsidRPr="00A12E89">
        <w:rPr>
          <w:rFonts w:ascii="Calibri" w:eastAsia="Times New Roman" w:hAnsi="Calibri" w:cs="Calibri"/>
          <w:color w:val="333333"/>
        </w:rPr>
        <w:t> or “</w:t>
      </w:r>
      <w:proofErr w:type="spellStart"/>
      <w:r w:rsidRPr="00A12E89">
        <w:rPr>
          <w:rFonts w:ascii="Calibri" w:eastAsia="Times New Roman" w:hAnsi="Calibri" w:cs="Calibri"/>
          <w:i/>
          <w:iCs/>
          <w:color w:val="333333"/>
        </w:rPr>
        <w:t>recommended”</w:t>
      </w:r>
      <w:r w:rsidRPr="00A12E89">
        <w:rPr>
          <w:rFonts w:ascii="Calibri" w:eastAsia="Times New Roman" w:hAnsi="Calibri" w:cs="Calibri"/>
          <w:color w:val="333333"/>
        </w:rPr>
        <w:t>as</w:t>
      </w:r>
      <w:proofErr w:type="spellEnd"/>
      <w:r w:rsidRPr="00A12E89">
        <w:rPr>
          <w:rFonts w:ascii="Calibri" w:eastAsia="Times New Roman" w:hAnsi="Calibri" w:cs="Calibri"/>
          <w:color w:val="333333"/>
        </w:rPr>
        <w:t xml:space="preserve"> the minimum information reported across all spoken discourse studies. These items included information about sampling, transcription, and analysis. Adherence to rigorously developed reporting guidelines is important for improving the overall quality and replicability of research in the field. We have archived the current recommendations on the Open Science Framework, which is where updates to the recommendations will also be located (</w:t>
      </w:r>
      <w:hyperlink r:id="rId5" w:tgtFrame="_blank" w:history="1">
        <w:r w:rsidRPr="00A12E89">
          <w:rPr>
            <w:rFonts w:ascii="Calibri" w:eastAsia="Times New Roman" w:hAnsi="Calibri" w:cs="Calibri"/>
            <w:color w:val="10147E"/>
            <w:u w:val="single"/>
          </w:rPr>
          <w:t>https://osf.io/y48n9/</w:t>
        </w:r>
      </w:hyperlink>
      <w:r w:rsidRPr="00A12E89">
        <w:rPr>
          <w:rFonts w:ascii="Calibri" w:eastAsia="Times New Roman" w:hAnsi="Calibri" w:cs="Calibri"/>
          <w:color w:val="333333"/>
        </w:rPr>
        <w:t>).</w:t>
      </w:r>
    </w:p>
    <w:p w14:paraId="45C2BCBE" w14:textId="77777777" w:rsidR="00C96800" w:rsidRPr="00A12E89" w:rsidRDefault="00C96800">
      <w:pPr>
        <w:rPr>
          <w:rFonts w:ascii="Calibri" w:hAnsi="Calibri" w:cs="Calibri"/>
        </w:rPr>
      </w:pPr>
    </w:p>
    <w:sectPr w:rsidR="00C96800" w:rsidRPr="00A12E89" w:rsidSect="007B79D4">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800"/>
    <w:rsid w:val="007B79D4"/>
    <w:rsid w:val="00A12E89"/>
    <w:rsid w:val="00C40B0D"/>
    <w:rsid w:val="00C968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3609F97"/>
  <w14:defaultImageDpi w14:val="32767"/>
  <w15:chartTrackingRefBased/>
  <w15:docId w15:val="{03DCA471-E302-A747-B78C-BDA118583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link w:val="Heading2Char"/>
    <w:uiPriority w:val="9"/>
    <w:qFormat/>
    <w:rsid w:val="00C96800"/>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uthors">
    <w:name w:val="authors"/>
    <w:basedOn w:val="DefaultParagraphFont"/>
    <w:rsid w:val="00C96800"/>
  </w:style>
  <w:style w:type="character" w:customStyle="1" w:styleId="apple-converted-space">
    <w:name w:val="apple-converted-space"/>
    <w:basedOn w:val="DefaultParagraphFont"/>
    <w:rsid w:val="00C96800"/>
  </w:style>
  <w:style w:type="character" w:customStyle="1" w:styleId="Date1">
    <w:name w:val="Date1"/>
    <w:basedOn w:val="DefaultParagraphFont"/>
    <w:rsid w:val="00C96800"/>
  </w:style>
  <w:style w:type="character" w:customStyle="1" w:styleId="arttitle">
    <w:name w:val="art_title"/>
    <w:basedOn w:val="DefaultParagraphFont"/>
    <w:rsid w:val="00C96800"/>
  </w:style>
  <w:style w:type="character" w:customStyle="1" w:styleId="serialtitle">
    <w:name w:val="serial_title"/>
    <w:basedOn w:val="DefaultParagraphFont"/>
    <w:rsid w:val="00C96800"/>
  </w:style>
  <w:style w:type="character" w:customStyle="1" w:styleId="doilink">
    <w:name w:val="doi_link"/>
    <w:basedOn w:val="DefaultParagraphFont"/>
    <w:rsid w:val="00C96800"/>
  </w:style>
  <w:style w:type="character" w:styleId="Hyperlink">
    <w:name w:val="Hyperlink"/>
    <w:basedOn w:val="DefaultParagraphFont"/>
    <w:uiPriority w:val="99"/>
    <w:semiHidden/>
    <w:unhideWhenUsed/>
    <w:rsid w:val="00C96800"/>
    <w:rPr>
      <w:color w:val="0000FF"/>
      <w:u w:val="single"/>
    </w:rPr>
  </w:style>
  <w:style w:type="character" w:customStyle="1" w:styleId="Heading2Char">
    <w:name w:val="Heading 2 Char"/>
    <w:basedOn w:val="DefaultParagraphFont"/>
    <w:link w:val="Heading2"/>
    <w:uiPriority w:val="9"/>
    <w:rsid w:val="00C9680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9680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880356">
      <w:bodyDiv w:val="1"/>
      <w:marLeft w:val="0"/>
      <w:marRight w:val="0"/>
      <w:marTop w:val="0"/>
      <w:marBottom w:val="0"/>
      <w:divBdr>
        <w:top w:val="none" w:sz="0" w:space="0" w:color="auto"/>
        <w:left w:val="none" w:sz="0" w:space="0" w:color="auto"/>
        <w:bottom w:val="none" w:sz="0" w:space="0" w:color="auto"/>
        <w:right w:val="none" w:sz="0" w:space="0" w:color="auto"/>
      </w:divBdr>
      <w:divsChild>
        <w:div w:id="790975953">
          <w:marLeft w:val="0"/>
          <w:marRight w:val="0"/>
          <w:marTop w:val="0"/>
          <w:marBottom w:val="0"/>
          <w:divBdr>
            <w:top w:val="none" w:sz="0" w:space="0" w:color="auto"/>
            <w:left w:val="none" w:sz="0" w:space="0" w:color="auto"/>
            <w:bottom w:val="single" w:sz="6" w:space="0" w:color="auto"/>
            <w:right w:val="none" w:sz="0" w:space="0" w:color="auto"/>
          </w:divBdr>
        </w:div>
        <w:div w:id="1150246245">
          <w:marLeft w:val="0"/>
          <w:marRight w:val="0"/>
          <w:marTop w:val="0"/>
          <w:marBottom w:val="0"/>
          <w:divBdr>
            <w:top w:val="none" w:sz="0" w:space="0" w:color="auto"/>
            <w:left w:val="none" w:sz="0" w:space="0" w:color="auto"/>
            <w:bottom w:val="single" w:sz="6" w:space="0" w:color="auto"/>
            <w:right w:val="none" w:sz="0" w:space="0" w:color="auto"/>
          </w:divBdr>
        </w:div>
        <w:div w:id="212929872">
          <w:marLeft w:val="0"/>
          <w:marRight w:val="0"/>
          <w:marTop w:val="0"/>
          <w:marBottom w:val="0"/>
          <w:divBdr>
            <w:top w:val="none" w:sz="0" w:space="0" w:color="auto"/>
            <w:left w:val="none" w:sz="0" w:space="0" w:color="auto"/>
            <w:bottom w:val="single" w:sz="6" w:space="0" w:color="auto"/>
            <w:right w:val="none" w:sz="0" w:space="0" w:color="auto"/>
          </w:divBdr>
        </w:div>
        <w:div w:id="1089816738">
          <w:marLeft w:val="0"/>
          <w:marRight w:val="0"/>
          <w:marTop w:val="0"/>
          <w:marBottom w:val="0"/>
          <w:divBdr>
            <w:top w:val="none" w:sz="0" w:space="0" w:color="auto"/>
            <w:left w:val="none" w:sz="0" w:space="0" w:color="auto"/>
            <w:bottom w:val="single" w:sz="6" w:space="0" w:color="auto"/>
            <w:right w:val="none" w:sz="0" w:space="0" w:color="auto"/>
          </w:divBdr>
        </w:div>
        <w:div w:id="165480509">
          <w:marLeft w:val="0"/>
          <w:marRight w:val="0"/>
          <w:marTop w:val="0"/>
          <w:marBottom w:val="0"/>
          <w:divBdr>
            <w:top w:val="none" w:sz="0" w:space="0" w:color="auto"/>
            <w:left w:val="none" w:sz="0" w:space="0" w:color="auto"/>
            <w:bottom w:val="single" w:sz="6" w:space="0" w:color="auto"/>
            <w:right w:val="none" w:sz="0" w:space="0" w:color="auto"/>
          </w:divBdr>
        </w:div>
      </w:divsChild>
    </w:div>
    <w:div w:id="310446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osf.io/y48n9/" TargetMode="External"/><Relationship Id="rId4" Type="http://schemas.openxmlformats.org/officeDocument/2006/relationships/hyperlink" Target="https://doi.org/10.1080/02687038.2022.20393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462</Words>
  <Characters>2638</Characters>
  <Application>Microsoft Office Word</Application>
  <DocSecurity>0</DocSecurity>
  <Lines>21</Lines>
  <Paragraphs>6</Paragraphs>
  <ScaleCrop>false</ScaleCrop>
  <Company/>
  <LinksUpToDate>false</LinksUpToDate>
  <CharactersWithSpaces>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2022-02-27T20:02:00Z</dcterms:created>
  <dcterms:modified xsi:type="dcterms:W3CDTF">2022-02-27T20:09:00Z</dcterms:modified>
</cp:coreProperties>
</file>