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7E3FA" w14:textId="79781ECE" w:rsidR="002D098B" w:rsidRPr="002D098B" w:rsidRDefault="002D098B" w:rsidP="002D098B">
      <w:pPr>
        <w:rPr>
          <w:rFonts w:ascii="Calibri" w:eastAsia="Times New Roman" w:hAnsi="Calibri" w:cs="Calibri"/>
          <w:lang w:eastAsia="en-GB"/>
        </w:rPr>
      </w:pPr>
      <w:r w:rsidRPr="002D098B">
        <w:rPr>
          <w:rFonts w:ascii="Calibri" w:eastAsia="Times New Roman" w:hAnsi="Calibri" w:cs="Calibri"/>
          <w:b/>
          <w:bCs/>
          <w:shd w:val="clear" w:color="auto" w:fill="EDF0F2"/>
          <w:lang w:eastAsia="en-GB"/>
        </w:rPr>
        <w:t>Andrews, J. P., Cahn, N., Speidel, B. A., Chung, J. E., Levy, D. F., Wilson, S. M., Berger, M. S., &amp; Chang, E. F. (2022). Dissociation of Broca’s area from Broca’s aphasia in patients undergoing neurosurgical resections, </w:t>
      </w:r>
      <w:r w:rsidRPr="002D098B">
        <w:rPr>
          <w:rFonts w:ascii="Calibri" w:eastAsia="Times New Roman" w:hAnsi="Calibri" w:cs="Calibri"/>
          <w:b/>
          <w:bCs/>
          <w:i/>
          <w:iCs/>
          <w:lang w:eastAsia="en-GB"/>
        </w:rPr>
        <w:t>Journal of Neurosurgery</w:t>
      </w:r>
      <w:r w:rsidRPr="002D098B">
        <w:rPr>
          <w:rFonts w:ascii="Calibri" w:eastAsia="Times New Roman" w:hAnsi="Calibri" w:cs="Calibri"/>
          <w:b/>
          <w:bCs/>
          <w:shd w:val="clear" w:color="auto" w:fill="EDF0F2"/>
          <w:lang w:eastAsia="en-GB"/>
        </w:rPr>
        <w:t> (published online ahead of print 2022). Retrieved Sep 1, 2022, from </w:t>
      </w:r>
      <w:hyperlink r:id="rId4" w:tgtFrame="_blank" w:history="1">
        <w:r w:rsidRPr="002D098B">
          <w:rPr>
            <w:rFonts w:ascii="Calibri" w:eastAsia="Times New Roman" w:hAnsi="Calibri" w:cs="Calibri"/>
            <w:b/>
            <w:bCs/>
            <w:color w:val="0000FF"/>
            <w:u w:val="single"/>
            <w:lang w:eastAsia="en-GB"/>
          </w:rPr>
          <w:t>https://thejns.org/view/journals/j-neurosurg/aop/article-10.3171-2022.6.JNS2297/article-10.3171-2022.6.JNS2297.xml</w:t>
        </w:r>
      </w:hyperlink>
    </w:p>
    <w:p w14:paraId="34CD4CD6" w14:textId="77777777" w:rsidR="002D098B" w:rsidRPr="002D098B" w:rsidRDefault="002D098B" w:rsidP="002D098B">
      <w:pPr>
        <w:pStyle w:val="NormalWeb"/>
        <w:shd w:val="clear" w:color="auto" w:fill="FFFFFF"/>
        <w:rPr>
          <w:rFonts w:ascii="Calibri" w:hAnsi="Calibri" w:cs="Calibri"/>
          <w:b/>
          <w:bCs/>
        </w:rPr>
      </w:pPr>
    </w:p>
    <w:p w14:paraId="7599D16C" w14:textId="76F1C988" w:rsidR="002D098B" w:rsidRPr="002D098B" w:rsidRDefault="002D098B" w:rsidP="002D098B">
      <w:pPr>
        <w:pStyle w:val="NormalWeb"/>
        <w:shd w:val="clear" w:color="auto" w:fill="FFFFFF"/>
        <w:rPr>
          <w:rFonts w:ascii="Calibri" w:hAnsi="Calibri" w:cs="Calibri"/>
        </w:rPr>
      </w:pPr>
      <w:r w:rsidRPr="002D098B">
        <w:rPr>
          <w:rFonts w:ascii="Calibri" w:hAnsi="Calibri" w:cs="Calibri"/>
          <w:b/>
          <w:bCs/>
        </w:rPr>
        <w:t>OB</w:t>
      </w:r>
      <w:r w:rsidRPr="002D098B">
        <w:rPr>
          <w:rFonts w:ascii="Calibri" w:hAnsi="Calibri" w:cs="Calibri"/>
          <w:b/>
          <w:bCs/>
        </w:rPr>
        <w:t xml:space="preserve">JECTIVE </w:t>
      </w:r>
      <w:r w:rsidRPr="002D098B">
        <w:rPr>
          <w:rFonts w:ascii="Calibri" w:hAnsi="Calibri" w:cs="Calibri"/>
        </w:rPr>
        <w:t xml:space="preserve">Broca’s aphasia is a syndrome of impaired fluency with retained comprehension. The authors used an unbiased algorithm to examine which neuroanatomical areas are most likely to result in Broca’s aphasia following surgical lesions. </w:t>
      </w:r>
    </w:p>
    <w:p w14:paraId="29041758" w14:textId="77777777" w:rsidR="002D098B" w:rsidRPr="002D098B" w:rsidRDefault="002D098B" w:rsidP="002D098B">
      <w:pPr>
        <w:pStyle w:val="NormalWeb"/>
        <w:shd w:val="clear" w:color="auto" w:fill="FFFFFF"/>
        <w:rPr>
          <w:rFonts w:ascii="Calibri" w:hAnsi="Calibri" w:cs="Calibri"/>
        </w:rPr>
      </w:pPr>
      <w:r w:rsidRPr="002D098B">
        <w:rPr>
          <w:rFonts w:ascii="Calibri" w:hAnsi="Calibri" w:cs="Calibri"/>
          <w:b/>
          <w:bCs/>
        </w:rPr>
        <w:t xml:space="preserve">METHODS </w:t>
      </w:r>
      <w:r w:rsidRPr="002D098B">
        <w:rPr>
          <w:rFonts w:ascii="Calibri" w:hAnsi="Calibri" w:cs="Calibri"/>
        </w:rPr>
        <w:t xml:space="preserve">Patients were prospectively evaluated with standardized language batteries before and after surgery. Broca’s area was defined anatomically as the pars </w:t>
      </w:r>
      <w:proofErr w:type="spellStart"/>
      <w:r w:rsidRPr="002D098B">
        <w:rPr>
          <w:rFonts w:ascii="Calibri" w:hAnsi="Calibri" w:cs="Calibri"/>
        </w:rPr>
        <w:t>opercularis</w:t>
      </w:r>
      <w:proofErr w:type="spellEnd"/>
      <w:r w:rsidRPr="002D098B">
        <w:rPr>
          <w:rFonts w:ascii="Calibri" w:hAnsi="Calibri" w:cs="Calibri"/>
        </w:rPr>
        <w:t xml:space="preserve"> and triangularis of the inferior frontal gyrus. Broca’s aphasia was defined by the Western Aphasia Battery language assessment. Resections were outlined from MRI scans to construct 3D volumes of interest. These were aligned using a nonlinear transformation to Montreal Neurological Institute brain space. A voxel-based lesion-symptom mapping (VLSM) algorithm was used to test for areas statistically associated with Broca’s aphasia when incorporated into a resection, as well as areas associated with deficits in fluency independent of Western Aphasia Battery classification. Postoperative MRI scans were reviewed in blinded fashion to estimate the percentage resection of Broca’s area compared to areas identified using the VLSM algorithm. </w:t>
      </w:r>
    </w:p>
    <w:p w14:paraId="1D004F3B" w14:textId="77777777" w:rsidR="002D098B" w:rsidRPr="002D098B" w:rsidRDefault="002D098B" w:rsidP="002D098B">
      <w:pPr>
        <w:pStyle w:val="NormalWeb"/>
        <w:shd w:val="clear" w:color="auto" w:fill="FFFFFF"/>
        <w:rPr>
          <w:rFonts w:ascii="Calibri" w:hAnsi="Calibri" w:cs="Calibri"/>
        </w:rPr>
      </w:pPr>
      <w:r w:rsidRPr="002D098B">
        <w:rPr>
          <w:rFonts w:ascii="Calibri" w:hAnsi="Calibri" w:cs="Calibri"/>
          <w:b/>
          <w:bCs/>
        </w:rPr>
        <w:t xml:space="preserve">RESULTS </w:t>
      </w:r>
      <w:r w:rsidRPr="002D098B">
        <w:rPr>
          <w:rFonts w:ascii="Calibri" w:hAnsi="Calibri" w:cs="Calibri"/>
        </w:rPr>
        <w:t xml:space="preserve">A total of 289 patients had early language evaluations, of whom 19 had postoperative Broca’s aphasia. VLSM analysis revealed an area that was highly correlated (p &lt; 0.001) with Broca’s aphasia, spanning ventral sensorimotor cortex and supramarginal gyri, as well as extending into subcortical white matter tracts. Reduced fluency scores were significantly associated with an overlapping region of interest. The fluency score was negatively correlated with fraction of resected precentral, postcentral, and supramarginal components of the VLSM area. </w:t>
      </w:r>
    </w:p>
    <w:p w14:paraId="2FEC501E" w14:textId="77777777" w:rsidR="002D098B" w:rsidRPr="002D098B" w:rsidRDefault="002D098B" w:rsidP="002D098B">
      <w:pPr>
        <w:pStyle w:val="NormalWeb"/>
        <w:shd w:val="clear" w:color="auto" w:fill="FFFFFF"/>
        <w:rPr>
          <w:rFonts w:ascii="Calibri" w:hAnsi="Calibri" w:cs="Calibri"/>
        </w:rPr>
      </w:pPr>
      <w:r w:rsidRPr="002D098B">
        <w:rPr>
          <w:rFonts w:ascii="Calibri" w:hAnsi="Calibri" w:cs="Calibri"/>
          <w:b/>
          <w:bCs/>
        </w:rPr>
        <w:t xml:space="preserve">CONCLUSIONS </w:t>
      </w:r>
      <w:r w:rsidRPr="002D098B">
        <w:rPr>
          <w:rFonts w:ascii="Calibri" w:hAnsi="Calibri" w:cs="Calibri"/>
        </w:rPr>
        <w:t xml:space="preserve">Broca’s aphasia does not typically arise from neurosurgical resections in Broca’s area. When Broca’s aphasia does occur after surgery, it is typically in the early postoperative period, improves by 1 month, and is associated with resections of ventral sensorimotor cortex and supramarginal gyri. </w:t>
      </w:r>
    </w:p>
    <w:p w14:paraId="53B4EC80" w14:textId="77777777" w:rsidR="00700A93" w:rsidRPr="002D098B" w:rsidRDefault="00000000">
      <w:pPr>
        <w:rPr>
          <w:rFonts w:ascii="Calibri" w:hAnsi="Calibri" w:cs="Calibri"/>
        </w:rPr>
      </w:pPr>
    </w:p>
    <w:sectPr w:rsidR="00700A93" w:rsidRPr="002D098B"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8B"/>
    <w:rsid w:val="002D098B"/>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C8FFB4"/>
  <w14:defaultImageDpi w14:val="32767"/>
  <w15:chartTrackingRefBased/>
  <w15:docId w15:val="{6B92E88B-757B-214A-BAED-0501918D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98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D098B"/>
  </w:style>
  <w:style w:type="character" w:styleId="Emphasis">
    <w:name w:val="Emphasis"/>
    <w:basedOn w:val="DefaultParagraphFont"/>
    <w:uiPriority w:val="20"/>
    <w:qFormat/>
    <w:rsid w:val="002D098B"/>
    <w:rPr>
      <w:i/>
      <w:iCs/>
    </w:rPr>
  </w:style>
  <w:style w:type="character" w:styleId="Hyperlink">
    <w:name w:val="Hyperlink"/>
    <w:basedOn w:val="DefaultParagraphFont"/>
    <w:uiPriority w:val="99"/>
    <w:semiHidden/>
    <w:unhideWhenUsed/>
    <w:rsid w:val="002D0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49753">
      <w:bodyDiv w:val="1"/>
      <w:marLeft w:val="0"/>
      <w:marRight w:val="0"/>
      <w:marTop w:val="0"/>
      <w:marBottom w:val="0"/>
      <w:divBdr>
        <w:top w:val="none" w:sz="0" w:space="0" w:color="auto"/>
        <w:left w:val="none" w:sz="0" w:space="0" w:color="auto"/>
        <w:bottom w:val="none" w:sz="0" w:space="0" w:color="auto"/>
        <w:right w:val="none" w:sz="0" w:space="0" w:color="auto"/>
      </w:divBdr>
    </w:div>
    <w:div w:id="1764565093">
      <w:bodyDiv w:val="1"/>
      <w:marLeft w:val="0"/>
      <w:marRight w:val="0"/>
      <w:marTop w:val="0"/>
      <w:marBottom w:val="0"/>
      <w:divBdr>
        <w:top w:val="none" w:sz="0" w:space="0" w:color="auto"/>
        <w:left w:val="none" w:sz="0" w:space="0" w:color="auto"/>
        <w:bottom w:val="none" w:sz="0" w:space="0" w:color="auto"/>
        <w:right w:val="none" w:sz="0" w:space="0" w:color="auto"/>
      </w:divBdr>
      <w:divsChild>
        <w:div w:id="471874684">
          <w:marLeft w:val="0"/>
          <w:marRight w:val="0"/>
          <w:marTop w:val="0"/>
          <w:marBottom w:val="0"/>
          <w:divBdr>
            <w:top w:val="none" w:sz="0" w:space="0" w:color="auto"/>
            <w:left w:val="none" w:sz="0" w:space="0" w:color="auto"/>
            <w:bottom w:val="none" w:sz="0" w:space="0" w:color="auto"/>
            <w:right w:val="none" w:sz="0" w:space="0" w:color="auto"/>
          </w:divBdr>
          <w:divsChild>
            <w:div w:id="1429421184">
              <w:marLeft w:val="0"/>
              <w:marRight w:val="0"/>
              <w:marTop w:val="0"/>
              <w:marBottom w:val="0"/>
              <w:divBdr>
                <w:top w:val="none" w:sz="0" w:space="0" w:color="auto"/>
                <w:left w:val="none" w:sz="0" w:space="0" w:color="auto"/>
                <w:bottom w:val="none" w:sz="0" w:space="0" w:color="auto"/>
                <w:right w:val="none" w:sz="0" w:space="0" w:color="auto"/>
              </w:divBdr>
              <w:divsChild>
                <w:div w:id="328412946">
                  <w:marLeft w:val="0"/>
                  <w:marRight w:val="0"/>
                  <w:marTop w:val="0"/>
                  <w:marBottom w:val="0"/>
                  <w:divBdr>
                    <w:top w:val="none" w:sz="0" w:space="0" w:color="auto"/>
                    <w:left w:val="none" w:sz="0" w:space="0" w:color="auto"/>
                    <w:bottom w:val="none" w:sz="0" w:space="0" w:color="auto"/>
                    <w:right w:val="none" w:sz="0" w:space="0" w:color="auto"/>
                  </w:divBdr>
                  <w:divsChild>
                    <w:div w:id="205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jns.org/view/journals/j-neurosurg/aop/article-10.3171-2022.6.JNS2297/article-10.3171-2022.6.JNS2297.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2022-09-01T19:02:00Z</dcterms:created>
  <dcterms:modified xsi:type="dcterms:W3CDTF">2022-09-01T19:03:00Z</dcterms:modified>
</cp:coreProperties>
</file>