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9E87" w14:textId="77777777" w:rsidR="00340266" w:rsidRPr="00340266" w:rsidRDefault="00340266" w:rsidP="00340266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 xml:space="preserve">Maria </w:t>
      </w:r>
      <w:proofErr w:type="spellStart"/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>Varkanitsa</w:t>
      </w:r>
      <w:proofErr w:type="spellEnd"/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 xml:space="preserve"> &amp; Swathi Kiran</w:t>
      </w:r>
      <w:r w:rsidRPr="00340266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>(2022)</w:t>
      </w:r>
      <w:r w:rsidRPr="00340266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 xml:space="preserve">Understanding, </w:t>
      </w:r>
      <w:proofErr w:type="gramStart"/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>facilitating</w:t>
      </w:r>
      <w:proofErr w:type="gramEnd"/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 xml:space="preserve"> and predicting aphasia recovery after rehabilitation,</w:t>
      </w:r>
      <w:r w:rsidRPr="00340266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>International Journal of Speech-Language Pathology,</w:t>
      </w:r>
      <w:r w:rsidRPr="00340266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>24:3,</w:t>
      </w:r>
      <w:r w:rsidRPr="00340266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>248-259,</w:t>
      </w:r>
      <w:r w:rsidRPr="00340266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340266">
        <w:rPr>
          <w:rFonts w:ascii="Open Sans" w:eastAsia="Times New Roman" w:hAnsi="Open Sans" w:cs="Open Sans"/>
          <w:b/>
          <w:bCs/>
          <w:color w:val="333333"/>
          <w:lang w:eastAsia="en-GB"/>
        </w:rPr>
        <w:t>DOI: </w:t>
      </w:r>
      <w:hyperlink r:id="rId4" w:history="1">
        <w:r w:rsidRPr="00340266">
          <w:rPr>
            <w:rFonts w:ascii="Open Sans" w:eastAsia="Times New Roman" w:hAnsi="Open Sans" w:cs="Open Sans"/>
            <w:b/>
            <w:bCs/>
            <w:color w:val="333333"/>
            <w:u w:val="single"/>
            <w:lang w:eastAsia="en-GB"/>
          </w:rPr>
          <w:t>10.1080/17549507.2022.2075036</w:t>
        </w:r>
      </w:hyperlink>
    </w:p>
    <w:p w14:paraId="24577F92" w14:textId="39BE85E6" w:rsidR="00700A93" w:rsidRDefault="00000000"/>
    <w:p w14:paraId="7DFFC1D2" w14:textId="77777777" w:rsidR="00340266" w:rsidRPr="00340266" w:rsidRDefault="00340266" w:rsidP="00340266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340266">
        <w:rPr>
          <w:rFonts w:ascii="Open Sans" w:eastAsia="Times New Roman" w:hAnsi="Open Sans" w:cs="Open Sans"/>
          <w:i/>
          <w:iCs/>
          <w:color w:val="333333"/>
          <w:sz w:val="26"/>
          <w:szCs w:val="26"/>
          <w:lang w:eastAsia="en-GB"/>
        </w:rPr>
        <w:t>Purpose:</w:t>
      </w:r>
      <w:r w:rsidRPr="00340266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 This paper reviews several studies whose aim was to understand the nature of language recovery in chronic aphasia and identify predictors of how people may recover their language functions after a brain injury.</w:t>
      </w:r>
    </w:p>
    <w:p w14:paraId="57BB938B" w14:textId="77777777" w:rsidR="00340266" w:rsidRPr="00340266" w:rsidRDefault="00340266" w:rsidP="00340266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340266">
        <w:rPr>
          <w:rFonts w:ascii="Open Sans" w:eastAsia="Times New Roman" w:hAnsi="Open Sans" w:cs="Open Sans"/>
          <w:i/>
          <w:iCs/>
          <w:color w:val="333333"/>
          <w:sz w:val="26"/>
          <w:szCs w:val="26"/>
          <w:lang w:eastAsia="en-GB"/>
        </w:rPr>
        <w:t>Method:</w:t>
      </w:r>
      <w:r w:rsidRPr="00340266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 Several studies that mostly draw from data collected within the Centre for Neurobiology of Language Recovery were reviewed and categorised in four aspects of language impairment and recovery in aphasia: (a) neural markers for language impairment and recovery, (b) language and cognitive markers for language impairment and recovery, (c) effective treatments and (d) predictive modelling of treatment-induced rehabilitation.</w:t>
      </w:r>
    </w:p>
    <w:p w14:paraId="521817E2" w14:textId="77777777" w:rsidR="00340266" w:rsidRPr="00340266" w:rsidRDefault="00340266" w:rsidP="00340266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340266">
        <w:rPr>
          <w:rFonts w:ascii="Open Sans" w:eastAsia="Times New Roman" w:hAnsi="Open Sans" w:cs="Open Sans"/>
          <w:i/>
          <w:iCs/>
          <w:color w:val="333333"/>
          <w:sz w:val="26"/>
          <w:szCs w:val="26"/>
          <w:lang w:eastAsia="en-GB"/>
        </w:rPr>
        <w:t>Result:</w:t>
      </w:r>
      <w:r w:rsidRPr="00340266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 Language impairment and recovery in stroke-induced aphasia is multi-factorial, including patient-specific and treatment-specific factors. A combination of these factors may help us predict treatment responsiveness even before treatment begins.</w:t>
      </w:r>
    </w:p>
    <w:p w14:paraId="01591185" w14:textId="77777777" w:rsidR="00340266" w:rsidRPr="00340266" w:rsidRDefault="00340266" w:rsidP="00340266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340266">
        <w:rPr>
          <w:rFonts w:ascii="Open Sans" w:eastAsia="Times New Roman" w:hAnsi="Open Sans" w:cs="Open Sans"/>
          <w:i/>
          <w:iCs/>
          <w:color w:val="333333"/>
          <w:sz w:val="26"/>
          <w:szCs w:val="26"/>
          <w:lang w:eastAsia="en-GB"/>
        </w:rPr>
        <w:t>Conclusion:</w:t>
      </w:r>
      <w:r w:rsidRPr="00340266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 Continued work on this topic will lead to a better understanding of the mechanisms that underly language impairment and treatment-induced recovery in aphasia, and, consequently, use this information to predict each person's recovery profile trajectory and provide optimal prescriptions regarding the type and dosage of treatment.</w:t>
      </w:r>
    </w:p>
    <w:p w14:paraId="5D238EC3" w14:textId="77777777" w:rsidR="00340266" w:rsidRDefault="00340266"/>
    <w:sectPr w:rsidR="00340266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66"/>
    <w:rsid w:val="00340266"/>
    <w:rsid w:val="007B79D4"/>
    <w:rsid w:val="00A51618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B608F"/>
  <w14:defaultImageDpi w14:val="32767"/>
  <w15:chartTrackingRefBased/>
  <w15:docId w15:val="{6B6E2533-904C-3040-8384-DE4E2156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02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">
    <w:name w:val="authors"/>
    <w:basedOn w:val="DefaultParagraphFont"/>
    <w:rsid w:val="00340266"/>
  </w:style>
  <w:style w:type="character" w:customStyle="1" w:styleId="apple-converted-space">
    <w:name w:val="apple-converted-space"/>
    <w:basedOn w:val="DefaultParagraphFont"/>
    <w:rsid w:val="00340266"/>
  </w:style>
  <w:style w:type="character" w:customStyle="1" w:styleId="date">
    <w:name w:val="date"/>
    <w:basedOn w:val="DefaultParagraphFont"/>
    <w:rsid w:val="00340266"/>
  </w:style>
  <w:style w:type="character" w:customStyle="1" w:styleId="arttitle">
    <w:name w:val="art_title"/>
    <w:basedOn w:val="DefaultParagraphFont"/>
    <w:rsid w:val="00340266"/>
  </w:style>
  <w:style w:type="character" w:customStyle="1" w:styleId="serialtitle">
    <w:name w:val="serial_title"/>
    <w:basedOn w:val="DefaultParagraphFont"/>
    <w:rsid w:val="00340266"/>
  </w:style>
  <w:style w:type="character" w:customStyle="1" w:styleId="volumeissue">
    <w:name w:val="volume_issue"/>
    <w:basedOn w:val="DefaultParagraphFont"/>
    <w:rsid w:val="00340266"/>
  </w:style>
  <w:style w:type="character" w:customStyle="1" w:styleId="pagerange">
    <w:name w:val="page_range"/>
    <w:basedOn w:val="DefaultParagraphFont"/>
    <w:rsid w:val="00340266"/>
  </w:style>
  <w:style w:type="character" w:customStyle="1" w:styleId="doilink">
    <w:name w:val="doi_link"/>
    <w:basedOn w:val="DefaultParagraphFont"/>
    <w:rsid w:val="00340266"/>
  </w:style>
  <w:style w:type="character" w:styleId="Hyperlink">
    <w:name w:val="Hyperlink"/>
    <w:basedOn w:val="DefaultParagraphFont"/>
    <w:uiPriority w:val="99"/>
    <w:semiHidden/>
    <w:unhideWhenUsed/>
    <w:rsid w:val="0034026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026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402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7549507.2022.207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Thomas Jones</cp:lastModifiedBy>
  <cp:revision>1</cp:revision>
  <dcterms:created xsi:type="dcterms:W3CDTF">2022-09-01T18:52:00Z</dcterms:created>
  <dcterms:modified xsi:type="dcterms:W3CDTF">2022-09-01T18:53:00Z</dcterms:modified>
</cp:coreProperties>
</file>